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9B51" w14:textId="77777777" w:rsidR="00A77B3E" w:rsidRDefault="00A77B3E"/>
    <w:p w14:paraId="1C325BB4" w14:textId="77777777" w:rsidR="00A77B3E" w:rsidRDefault="00000000">
      <w:pPr>
        <w:jc w:val="center"/>
        <w:rPr>
          <w:b/>
          <w:color w:val="000000"/>
          <w:sz w:val="32"/>
        </w:rPr>
      </w:pPr>
      <w:r>
        <w:rPr>
          <w:b/>
          <w:color w:val="000000"/>
          <w:sz w:val="32"/>
        </w:rPr>
        <w:t>SFC2021 Programme supported from the ERDF (Investment for jobs and growth goal), ESF+, the Cohesion Fund, the JTF and the EMFAF - Article 21(3)</w:t>
      </w:r>
    </w:p>
    <w:p w14:paraId="52F4C3BC" w14:textId="77777777" w:rsidR="00A77B3E" w:rsidRDefault="00A77B3E">
      <w:pPr>
        <w:jc w:val="center"/>
        <w:rPr>
          <w:b/>
          <w:color w:val="000000"/>
          <w:sz w:val="32"/>
        </w:rPr>
      </w:pPr>
    </w:p>
    <w:p w14:paraId="1305D7BE" w14:textId="77777777" w:rsidR="00A77B3E" w:rsidRDefault="00A77B3E">
      <w:pPr>
        <w:jc w:val="center"/>
        <w:rPr>
          <w:b/>
          <w:color w:val="000000"/>
        </w:rPr>
      </w:pPr>
    </w:p>
    <w:tbl>
      <w:tblPr>
        <w:tblW w:w="4900" w:type="pct"/>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5018"/>
      </w:tblGrid>
      <w:tr w:rsidR="00B82D50" w14:paraId="447056AF" w14:textId="77777777">
        <w:trPr>
          <w:trHeight w:val="240"/>
        </w:trPr>
        <w:tc>
          <w:tcPr>
            <w:tcW w:w="2500" w:type="pct"/>
            <w:tcMar>
              <w:left w:w="100" w:type="dxa"/>
              <w:right w:w="100" w:type="dxa"/>
            </w:tcMar>
          </w:tcPr>
          <w:p w14:paraId="623262B2" w14:textId="77777777" w:rsidR="00A77B3E" w:rsidRDefault="00000000">
            <w:pPr>
              <w:rPr>
                <w:color w:val="000000"/>
              </w:rPr>
            </w:pPr>
            <w:r>
              <w:rPr>
                <w:color w:val="000000"/>
              </w:rPr>
              <w:t>CCI</w:t>
            </w:r>
          </w:p>
        </w:tc>
        <w:tc>
          <w:tcPr>
            <w:tcW w:w="2500" w:type="pct"/>
            <w:tcMar>
              <w:left w:w="100" w:type="dxa"/>
              <w:right w:w="100" w:type="dxa"/>
            </w:tcMar>
          </w:tcPr>
          <w:p w14:paraId="42013C3A" w14:textId="77777777" w:rsidR="00A77B3E" w:rsidRDefault="00000000">
            <w:pPr>
              <w:rPr>
                <w:color w:val="000000"/>
              </w:rPr>
            </w:pPr>
            <w:r>
              <w:rPr>
                <w:color w:val="000000"/>
              </w:rPr>
              <w:t>2021IE16RFPR002</w:t>
            </w:r>
          </w:p>
        </w:tc>
      </w:tr>
      <w:tr w:rsidR="00B82D50" w14:paraId="746B058A" w14:textId="77777777">
        <w:trPr>
          <w:trHeight w:val="240"/>
        </w:trPr>
        <w:tc>
          <w:tcPr>
            <w:tcW w:w="2500" w:type="pct"/>
            <w:tcMar>
              <w:left w:w="100" w:type="dxa"/>
              <w:right w:w="100" w:type="dxa"/>
            </w:tcMar>
          </w:tcPr>
          <w:p w14:paraId="24BA5AB5" w14:textId="77777777" w:rsidR="00A77B3E" w:rsidRDefault="00000000">
            <w:pPr>
              <w:rPr>
                <w:color w:val="000000"/>
              </w:rPr>
            </w:pPr>
            <w:r>
              <w:rPr>
                <w:color w:val="000000"/>
              </w:rPr>
              <w:t>Title in English</w:t>
            </w:r>
          </w:p>
        </w:tc>
        <w:tc>
          <w:tcPr>
            <w:tcW w:w="2500" w:type="pct"/>
            <w:tcMar>
              <w:left w:w="100" w:type="dxa"/>
              <w:right w:w="100" w:type="dxa"/>
            </w:tcMar>
          </w:tcPr>
          <w:p w14:paraId="1C369125" w14:textId="77777777" w:rsidR="00A77B3E" w:rsidRDefault="00000000">
            <w:pPr>
              <w:rPr>
                <w:color w:val="000000"/>
              </w:rPr>
            </w:pPr>
            <w:r>
              <w:rPr>
                <w:color w:val="000000"/>
              </w:rPr>
              <w:t>Southern, Eastern and Midland Regional Programme 2021–2027</w:t>
            </w:r>
          </w:p>
        </w:tc>
      </w:tr>
      <w:tr w:rsidR="00B82D50" w14:paraId="0337948A" w14:textId="77777777">
        <w:trPr>
          <w:trHeight w:val="240"/>
        </w:trPr>
        <w:tc>
          <w:tcPr>
            <w:tcW w:w="2500" w:type="pct"/>
            <w:tcMar>
              <w:left w:w="100" w:type="dxa"/>
              <w:right w:w="100" w:type="dxa"/>
            </w:tcMar>
          </w:tcPr>
          <w:p w14:paraId="48C07BD0" w14:textId="77777777" w:rsidR="00A77B3E" w:rsidRDefault="00000000">
            <w:pPr>
              <w:rPr>
                <w:color w:val="000000"/>
              </w:rPr>
            </w:pPr>
            <w:r>
              <w:rPr>
                <w:color w:val="000000"/>
              </w:rPr>
              <w:t>Title in national language(s)</w:t>
            </w:r>
          </w:p>
        </w:tc>
        <w:tc>
          <w:tcPr>
            <w:tcW w:w="2500" w:type="pct"/>
            <w:tcMar>
              <w:left w:w="100" w:type="dxa"/>
              <w:right w:w="100" w:type="dxa"/>
            </w:tcMar>
          </w:tcPr>
          <w:p w14:paraId="1B5ABDFF" w14:textId="77777777" w:rsidR="00A77B3E" w:rsidRDefault="00000000">
            <w:pPr>
              <w:rPr>
                <w:color w:val="000000"/>
              </w:rPr>
            </w:pPr>
            <w:r>
              <w:rPr>
                <w:color w:val="000000"/>
              </w:rPr>
              <w:t xml:space="preserve">GA - </w:t>
            </w:r>
            <w:proofErr w:type="spellStart"/>
            <w:r>
              <w:rPr>
                <w:color w:val="000000"/>
              </w:rPr>
              <w:t>Clár</w:t>
            </w:r>
            <w:proofErr w:type="spellEnd"/>
            <w:r>
              <w:rPr>
                <w:color w:val="000000"/>
              </w:rPr>
              <w:t xml:space="preserve"> </w:t>
            </w:r>
            <w:proofErr w:type="spellStart"/>
            <w:r>
              <w:rPr>
                <w:color w:val="000000"/>
              </w:rPr>
              <w:t>Réigiúnach</w:t>
            </w:r>
            <w:proofErr w:type="spellEnd"/>
            <w:r>
              <w:rPr>
                <w:color w:val="000000"/>
              </w:rPr>
              <w:t xml:space="preserve"> an </w:t>
            </w:r>
            <w:proofErr w:type="spellStart"/>
            <w:r>
              <w:rPr>
                <w:color w:val="000000"/>
              </w:rPr>
              <w:t>Deiscirt</w:t>
            </w:r>
            <w:proofErr w:type="spellEnd"/>
            <w:r>
              <w:rPr>
                <w:color w:val="000000"/>
              </w:rPr>
              <w:t xml:space="preserve">, an </w:t>
            </w:r>
            <w:proofErr w:type="spellStart"/>
            <w:r>
              <w:rPr>
                <w:color w:val="000000"/>
              </w:rPr>
              <w:t>Oirthir</w:t>
            </w:r>
            <w:proofErr w:type="spellEnd"/>
            <w:r>
              <w:rPr>
                <w:color w:val="000000"/>
              </w:rPr>
              <w:t xml:space="preserve"> </w:t>
            </w:r>
            <w:proofErr w:type="spellStart"/>
            <w:r>
              <w:rPr>
                <w:color w:val="000000"/>
              </w:rPr>
              <w:t>agus</w:t>
            </w:r>
            <w:proofErr w:type="spellEnd"/>
            <w:r>
              <w:rPr>
                <w:color w:val="000000"/>
              </w:rPr>
              <w:t xml:space="preserve"> Lár na </w:t>
            </w:r>
            <w:proofErr w:type="spellStart"/>
            <w:r>
              <w:rPr>
                <w:color w:val="000000"/>
              </w:rPr>
              <w:t>Tíre</w:t>
            </w:r>
            <w:proofErr w:type="spellEnd"/>
            <w:r>
              <w:rPr>
                <w:color w:val="000000"/>
              </w:rPr>
              <w:t xml:space="preserve"> 2021–2027</w:t>
            </w:r>
          </w:p>
        </w:tc>
      </w:tr>
      <w:tr w:rsidR="00B82D50" w14:paraId="2CC2CE04" w14:textId="77777777">
        <w:trPr>
          <w:trHeight w:val="240"/>
        </w:trPr>
        <w:tc>
          <w:tcPr>
            <w:tcW w:w="2500" w:type="pct"/>
            <w:tcMar>
              <w:left w:w="100" w:type="dxa"/>
              <w:right w:w="100" w:type="dxa"/>
            </w:tcMar>
          </w:tcPr>
          <w:p w14:paraId="064A2EC1" w14:textId="77777777" w:rsidR="00A77B3E" w:rsidRDefault="00000000">
            <w:pPr>
              <w:rPr>
                <w:color w:val="000000"/>
              </w:rPr>
            </w:pPr>
            <w:r>
              <w:rPr>
                <w:color w:val="000000"/>
              </w:rPr>
              <w:t>Version</w:t>
            </w:r>
          </w:p>
        </w:tc>
        <w:tc>
          <w:tcPr>
            <w:tcW w:w="2500" w:type="pct"/>
            <w:tcMar>
              <w:left w:w="100" w:type="dxa"/>
              <w:right w:w="100" w:type="dxa"/>
            </w:tcMar>
          </w:tcPr>
          <w:p w14:paraId="66F05391" w14:textId="77777777" w:rsidR="00A77B3E" w:rsidRDefault="00000000">
            <w:pPr>
              <w:rPr>
                <w:color w:val="000000"/>
              </w:rPr>
            </w:pPr>
            <w:r>
              <w:rPr>
                <w:color w:val="000000"/>
              </w:rPr>
              <w:t>3.2</w:t>
            </w:r>
          </w:p>
        </w:tc>
      </w:tr>
      <w:tr w:rsidR="00B82D50" w14:paraId="4B237587" w14:textId="77777777">
        <w:trPr>
          <w:trHeight w:val="240"/>
        </w:trPr>
        <w:tc>
          <w:tcPr>
            <w:tcW w:w="2500" w:type="pct"/>
            <w:tcMar>
              <w:left w:w="100" w:type="dxa"/>
              <w:right w:w="100" w:type="dxa"/>
            </w:tcMar>
          </w:tcPr>
          <w:p w14:paraId="48662CAB" w14:textId="77777777" w:rsidR="00A77B3E" w:rsidRDefault="00000000">
            <w:pPr>
              <w:rPr>
                <w:color w:val="000000"/>
              </w:rPr>
            </w:pPr>
            <w:r>
              <w:rPr>
                <w:color w:val="000000"/>
              </w:rPr>
              <w:t>First year</w:t>
            </w:r>
          </w:p>
        </w:tc>
        <w:tc>
          <w:tcPr>
            <w:tcW w:w="2500" w:type="pct"/>
            <w:tcMar>
              <w:left w:w="100" w:type="dxa"/>
              <w:right w:w="100" w:type="dxa"/>
            </w:tcMar>
          </w:tcPr>
          <w:p w14:paraId="12CC8553" w14:textId="77777777" w:rsidR="00A77B3E" w:rsidRDefault="00000000">
            <w:pPr>
              <w:rPr>
                <w:color w:val="000000"/>
              </w:rPr>
            </w:pPr>
            <w:r>
              <w:rPr>
                <w:color w:val="000000"/>
              </w:rPr>
              <w:t>2021</w:t>
            </w:r>
          </w:p>
        </w:tc>
      </w:tr>
      <w:tr w:rsidR="00B82D50" w14:paraId="55430D2D" w14:textId="77777777">
        <w:trPr>
          <w:trHeight w:val="240"/>
        </w:trPr>
        <w:tc>
          <w:tcPr>
            <w:tcW w:w="2500" w:type="pct"/>
            <w:tcMar>
              <w:left w:w="100" w:type="dxa"/>
              <w:right w:w="100" w:type="dxa"/>
            </w:tcMar>
          </w:tcPr>
          <w:p w14:paraId="2A60949C" w14:textId="77777777" w:rsidR="00A77B3E" w:rsidRDefault="00000000">
            <w:pPr>
              <w:rPr>
                <w:color w:val="000000"/>
              </w:rPr>
            </w:pPr>
            <w:r>
              <w:rPr>
                <w:color w:val="000000"/>
              </w:rPr>
              <w:t>Last year</w:t>
            </w:r>
          </w:p>
        </w:tc>
        <w:tc>
          <w:tcPr>
            <w:tcW w:w="2500" w:type="pct"/>
            <w:tcMar>
              <w:left w:w="100" w:type="dxa"/>
              <w:right w:w="100" w:type="dxa"/>
            </w:tcMar>
          </w:tcPr>
          <w:p w14:paraId="5631F2F9" w14:textId="77777777" w:rsidR="00A77B3E" w:rsidRDefault="00000000">
            <w:pPr>
              <w:rPr>
                <w:color w:val="000000"/>
              </w:rPr>
            </w:pPr>
            <w:r>
              <w:rPr>
                <w:color w:val="000000"/>
              </w:rPr>
              <w:t>2027</w:t>
            </w:r>
          </w:p>
        </w:tc>
      </w:tr>
      <w:tr w:rsidR="00B82D50" w14:paraId="79AA3DD2" w14:textId="77777777">
        <w:trPr>
          <w:trHeight w:val="240"/>
        </w:trPr>
        <w:tc>
          <w:tcPr>
            <w:tcW w:w="2500" w:type="pct"/>
            <w:tcMar>
              <w:left w:w="100" w:type="dxa"/>
              <w:right w:w="100" w:type="dxa"/>
            </w:tcMar>
          </w:tcPr>
          <w:p w14:paraId="085D6592" w14:textId="77777777" w:rsidR="00A77B3E" w:rsidRDefault="00000000">
            <w:pPr>
              <w:rPr>
                <w:color w:val="000000"/>
              </w:rPr>
            </w:pPr>
            <w:r>
              <w:rPr>
                <w:color w:val="000000"/>
              </w:rPr>
              <w:t>Eligible from</w:t>
            </w:r>
          </w:p>
        </w:tc>
        <w:tc>
          <w:tcPr>
            <w:tcW w:w="2500" w:type="pct"/>
            <w:tcMar>
              <w:left w:w="100" w:type="dxa"/>
              <w:right w:w="100" w:type="dxa"/>
            </w:tcMar>
          </w:tcPr>
          <w:p w14:paraId="020E4CF0" w14:textId="77777777" w:rsidR="00A77B3E" w:rsidRDefault="00000000">
            <w:pPr>
              <w:rPr>
                <w:color w:val="000000"/>
              </w:rPr>
            </w:pPr>
            <w:r>
              <w:rPr>
                <w:color w:val="000000"/>
              </w:rPr>
              <w:t>1 Jan 2021</w:t>
            </w:r>
          </w:p>
        </w:tc>
      </w:tr>
      <w:tr w:rsidR="00B82D50" w14:paraId="721BCD29" w14:textId="77777777">
        <w:trPr>
          <w:trHeight w:val="240"/>
        </w:trPr>
        <w:tc>
          <w:tcPr>
            <w:tcW w:w="2500" w:type="pct"/>
            <w:tcMar>
              <w:left w:w="100" w:type="dxa"/>
              <w:right w:w="100" w:type="dxa"/>
            </w:tcMar>
          </w:tcPr>
          <w:p w14:paraId="131288B2" w14:textId="77777777" w:rsidR="00A77B3E" w:rsidRDefault="00000000">
            <w:pPr>
              <w:rPr>
                <w:color w:val="000000"/>
              </w:rPr>
            </w:pPr>
            <w:r>
              <w:rPr>
                <w:color w:val="000000"/>
              </w:rPr>
              <w:t>Eligible until</w:t>
            </w:r>
          </w:p>
        </w:tc>
        <w:tc>
          <w:tcPr>
            <w:tcW w:w="2500" w:type="pct"/>
            <w:tcMar>
              <w:left w:w="100" w:type="dxa"/>
              <w:right w:w="100" w:type="dxa"/>
            </w:tcMar>
          </w:tcPr>
          <w:p w14:paraId="4912D254" w14:textId="77777777" w:rsidR="00A77B3E" w:rsidRDefault="00000000">
            <w:pPr>
              <w:rPr>
                <w:color w:val="000000"/>
              </w:rPr>
            </w:pPr>
            <w:r>
              <w:rPr>
                <w:color w:val="000000"/>
              </w:rPr>
              <w:t>31 Dec 2029</w:t>
            </w:r>
          </w:p>
        </w:tc>
      </w:tr>
      <w:tr w:rsidR="00B82D50" w14:paraId="53257A24" w14:textId="77777777">
        <w:trPr>
          <w:trHeight w:val="240"/>
        </w:trPr>
        <w:tc>
          <w:tcPr>
            <w:tcW w:w="2500" w:type="pct"/>
            <w:tcMar>
              <w:left w:w="100" w:type="dxa"/>
              <w:right w:w="100" w:type="dxa"/>
            </w:tcMar>
          </w:tcPr>
          <w:p w14:paraId="2F9A8645" w14:textId="77777777" w:rsidR="00A77B3E" w:rsidRDefault="00000000">
            <w:pPr>
              <w:rPr>
                <w:color w:val="000000"/>
              </w:rPr>
            </w:pPr>
            <w:r>
              <w:rPr>
                <w:color w:val="000000"/>
              </w:rPr>
              <w:t>Commission decision number</w:t>
            </w:r>
          </w:p>
        </w:tc>
        <w:tc>
          <w:tcPr>
            <w:tcW w:w="2500" w:type="pct"/>
            <w:tcMar>
              <w:left w:w="100" w:type="dxa"/>
              <w:right w:w="100" w:type="dxa"/>
            </w:tcMar>
          </w:tcPr>
          <w:p w14:paraId="561DDFF4" w14:textId="77777777" w:rsidR="00A77B3E" w:rsidRDefault="00000000">
            <w:pPr>
              <w:rPr>
                <w:color w:val="000000"/>
              </w:rPr>
            </w:pPr>
            <w:r>
              <w:rPr>
                <w:color w:val="000000"/>
              </w:rPr>
              <w:t>C(2026)1718</w:t>
            </w:r>
          </w:p>
        </w:tc>
      </w:tr>
      <w:tr w:rsidR="00B82D50" w14:paraId="61326945" w14:textId="77777777">
        <w:trPr>
          <w:trHeight w:val="240"/>
        </w:trPr>
        <w:tc>
          <w:tcPr>
            <w:tcW w:w="2500" w:type="pct"/>
            <w:tcMar>
              <w:left w:w="100" w:type="dxa"/>
              <w:right w:w="100" w:type="dxa"/>
            </w:tcMar>
          </w:tcPr>
          <w:p w14:paraId="5FCBA37F" w14:textId="77777777" w:rsidR="00A77B3E" w:rsidRDefault="00000000">
            <w:pPr>
              <w:rPr>
                <w:color w:val="000000"/>
              </w:rPr>
            </w:pPr>
            <w:r>
              <w:rPr>
                <w:color w:val="000000"/>
              </w:rPr>
              <w:t>Commission decision date</w:t>
            </w:r>
          </w:p>
        </w:tc>
        <w:tc>
          <w:tcPr>
            <w:tcW w:w="2500" w:type="pct"/>
            <w:tcMar>
              <w:left w:w="100" w:type="dxa"/>
              <w:right w:w="100" w:type="dxa"/>
            </w:tcMar>
          </w:tcPr>
          <w:p w14:paraId="224C38F9" w14:textId="77777777" w:rsidR="00A77B3E" w:rsidRDefault="00000000">
            <w:pPr>
              <w:rPr>
                <w:color w:val="000000"/>
              </w:rPr>
            </w:pPr>
            <w:r>
              <w:rPr>
                <w:color w:val="000000"/>
              </w:rPr>
              <w:t>24 Mar 2026</w:t>
            </w:r>
          </w:p>
        </w:tc>
      </w:tr>
      <w:tr w:rsidR="00B82D50" w14:paraId="5908835C" w14:textId="77777777">
        <w:trPr>
          <w:trHeight w:val="240"/>
        </w:trPr>
        <w:tc>
          <w:tcPr>
            <w:tcW w:w="2500" w:type="pct"/>
            <w:tcMar>
              <w:left w:w="100" w:type="dxa"/>
              <w:right w:w="100" w:type="dxa"/>
            </w:tcMar>
          </w:tcPr>
          <w:p w14:paraId="65FD5A79" w14:textId="77777777" w:rsidR="00A77B3E" w:rsidRDefault="00000000">
            <w:pPr>
              <w:rPr>
                <w:color w:val="000000"/>
              </w:rPr>
            </w:pPr>
            <w:r>
              <w:rPr>
                <w:color w:val="000000"/>
              </w:rPr>
              <w:t>Member State amending decision number</w:t>
            </w:r>
          </w:p>
        </w:tc>
        <w:tc>
          <w:tcPr>
            <w:tcW w:w="2500" w:type="pct"/>
            <w:tcMar>
              <w:left w:w="100" w:type="dxa"/>
              <w:right w:w="100" w:type="dxa"/>
            </w:tcMar>
          </w:tcPr>
          <w:p w14:paraId="4384CF10" w14:textId="77777777" w:rsidR="00A77B3E" w:rsidRDefault="00A77B3E">
            <w:pPr>
              <w:rPr>
                <w:color w:val="000000"/>
              </w:rPr>
            </w:pPr>
          </w:p>
        </w:tc>
      </w:tr>
      <w:tr w:rsidR="00B82D50" w14:paraId="6008CE14" w14:textId="77777777">
        <w:trPr>
          <w:trHeight w:val="240"/>
        </w:trPr>
        <w:tc>
          <w:tcPr>
            <w:tcW w:w="2500" w:type="pct"/>
            <w:tcMar>
              <w:left w:w="100" w:type="dxa"/>
              <w:right w:w="100" w:type="dxa"/>
            </w:tcMar>
          </w:tcPr>
          <w:p w14:paraId="36A44580" w14:textId="77777777" w:rsidR="00A77B3E" w:rsidRDefault="00000000">
            <w:pPr>
              <w:rPr>
                <w:color w:val="000000"/>
              </w:rPr>
            </w:pPr>
            <w:r>
              <w:rPr>
                <w:color w:val="000000"/>
              </w:rPr>
              <w:t>MS amending decision entry into force date</w:t>
            </w:r>
          </w:p>
        </w:tc>
        <w:tc>
          <w:tcPr>
            <w:tcW w:w="2500" w:type="pct"/>
            <w:tcMar>
              <w:left w:w="100" w:type="dxa"/>
              <w:right w:w="100" w:type="dxa"/>
            </w:tcMar>
          </w:tcPr>
          <w:p w14:paraId="570B1A9D" w14:textId="77777777" w:rsidR="00A77B3E" w:rsidRDefault="00A77B3E">
            <w:pPr>
              <w:rPr>
                <w:color w:val="000000"/>
              </w:rPr>
            </w:pPr>
          </w:p>
        </w:tc>
      </w:tr>
      <w:tr w:rsidR="00B82D50" w14:paraId="16A44D00" w14:textId="77777777">
        <w:trPr>
          <w:trHeight w:val="240"/>
        </w:trPr>
        <w:tc>
          <w:tcPr>
            <w:tcW w:w="1650" w:type="pct"/>
            <w:tcMar>
              <w:left w:w="100" w:type="dxa"/>
              <w:right w:w="100" w:type="dxa"/>
            </w:tcMar>
          </w:tcPr>
          <w:p w14:paraId="4CD6B553" w14:textId="77777777" w:rsidR="00A77B3E" w:rsidRDefault="00000000">
            <w:pPr>
              <w:rPr>
                <w:color w:val="000000"/>
              </w:rPr>
            </w:pPr>
            <w:r>
              <w:rPr>
                <w:color w:val="000000"/>
              </w:rPr>
              <w:t>Non substantial transfer (Article 24(5) CPR)</w:t>
            </w:r>
          </w:p>
        </w:tc>
        <w:tc>
          <w:tcPr>
            <w:tcW w:w="1650" w:type="pct"/>
            <w:tcMar>
              <w:left w:w="100" w:type="dxa"/>
              <w:right w:w="100" w:type="dxa"/>
            </w:tcMar>
          </w:tcPr>
          <w:p w14:paraId="63F705BF" w14:textId="77777777" w:rsidR="00A77B3E" w:rsidRDefault="00000000">
            <w:pPr>
              <w:rPr>
                <w:color w:val="000000"/>
              </w:rPr>
            </w:pPr>
            <w:r>
              <w:rPr>
                <w:color w:val="000000"/>
              </w:rPr>
              <w:t>No</w:t>
            </w:r>
          </w:p>
        </w:tc>
      </w:tr>
      <w:tr w:rsidR="00B82D50" w14:paraId="0135963D" w14:textId="77777777">
        <w:trPr>
          <w:trHeight w:val="240"/>
        </w:trPr>
        <w:tc>
          <w:tcPr>
            <w:tcW w:w="1650" w:type="pct"/>
            <w:tcMar>
              <w:left w:w="100" w:type="dxa"/>
              <w:right w:w="100" w:type="dxa"/>
            </w:tcMar>
          </w:tcPr>
          <w:p w14:paraId="382ABFF5" w14:textId="77777777" w:rsidR="00A77B3E" w:rsidRDefault="00000000">
            <w:pPr>
              <w:rPr>
                <w:color w:val="000000"/>
              </w:rPr>
            </w:pPr>
            <w:r>
              <w:rPr>
                <w:color w:val="000000"/>
              </w:rPr>
              <w:t>Clerical or editorial corrections (Article 24(6) CPR)</w:t>
            </w:r>
          </w:p>
        </w:tc>
        <w:tc>
          <w:tcPr>
            <w:tcW w:w="1650" w:type="pct"/>
            <w:tcMar>
              <w:left w:w="100" w:type="dxa"/>
              <w:right w:w="100" w:type="dxa"/>
            </w:tcMar>
          </w:tcPr>
          <w:p w14:paraId="5B12F45E" w14:textId="77777777" w:rsidR="00A77B3E" w:rsidRDefault="00000000">
            <w:pPr>
              <w:rPr>
                <w:color w:val="000000"/>
              </w:rPr>
            </w:pPr>
            <w:r>
              <w:rPr>
                <w:color w:val="000000"/>
              </w:rPr>
              <w:t>No</w:t>
            </w:r>
          </w:p>
        </w:tc>
      </w:tr>
      <w:tr w:rsidR="00B82D50" w14:paraId="704F393C" w14:textId="77777777">
        <w:trPr>
          <w:trHeight w:val="240"/>
        </w:trPr>
        <w:tc>
          <w:tcPr>
            <w:tcW w:w="1650" w:type="pct"/>
            <w:tcMar>
              <w:left w:w="100" w:type="dxa"/>
              <w:right w:w="100" w:type="dxa"/>
            </w:tcMar>
          </w:tcPr>
          <w:p w14:paraId="7FD15EB3" w14:textId="77777777" w:rsidR="00A77B3E" w:rsidRDefault="00000000">
            <w:pPr>
              <w:rPr>
                <w:color w:val="000000"/>
              </w:rPr>
            </w:pPr>
            <w:r>
              <w:rPr>
                <w:color w:val="000000"/>
              </w:rPr>
              <w:t>Approved by monitoring committee</w:t>
            </w:r>
          </w:p>
        </w:tc>
        <w:tc>
          <w:tcPr>
            <w:tcW w:w="1650" w:type="pct"/>
            <w:tcMar>
              <w:left w:w="100" w:type="dxa"/>
              <w:right w:w="100" w:type="dxa"/>
            </w:tcMar>
          </w:tcPr>
          <w:p w14:paraId="1E2AF03E" w14:textId="77777777" w:rsidR="00A77B3E" w:rsidRDefault="00000000">
            <w:pPr>
              <w:rPr>
                <w:color w:val="000000"/>
              </w:rPr>
            </w:pPr>
            <w:r>
              <w:rPr>
                <w:color w:val="000000"/>
              </w:rPr>
              <w:t>Yes</w:t>
            </w:r>
          </w:p>
        </w:tc>
      </w:tr>
      <w:tr w:rsidR="00B82D50" w14:paraId="3C602004" w14:textId="77777777">
        <w:trPr>
          <w:trHeight w:val="240"/>
        </w:trPr>
        <w:tc>
          <w:tcPr>
            <w:tcW w:w="1650" w:type="pct"/>
            <w:tcMar>
              <w:left w:w="100" w:type="dxa"/>
              <w:right w:w="100" w:type="dxa"/>
            </w:tcMar>
          </w:tcPr>
          <w:p w14:paraId="2A53B446" w14:textId="77777777" w:rsidR="00A77B3E" w:rsidRDefault="00000000">
            <w:pPr>
              <w:rPr>
                <w:color w:val="000000"/>
              </w:rPr>
            </w:pPr>
            <w:r>
              <w:rPr>
                <w:color w:val="000000"/>
              </w:rPr>
              <w:t xml:space="preserve">NUTS regions covered by the </w:t>
            </w:r>
            <w:proofErr w:type="spellStart"/>
            <w:r>
              <w:rPr>
                <w:color w:val="000000"/>
              </w:rPr>
              <w:t>programme</w:t>
            </w:r>
            <w:proofErr w:type="spellEnd"/>
          </w:p>
        </w:tc>
        <w:tc>
          <w:tcPr>
            <w:tcW w:w="1650" w:type="pct"/>
            <w:tcMar>
              <w:left w:w="100" w:type="dxa"/>
              <w:right w:w="100" w:type="dxa"/>
            </w:tcMar>
          </w:tcPr>
          <w:p w14:paraId="6837B679" w14:textId="77777777" w:rsidR="00A77B3E" w:rsidRDefault="00000000">
            <w:pPr>
              <w:rPr>
                <w:color w:val="000000"/>
              </w:rPr>
            </w:pPr>
            <w:r>
              <w:rPr>
                <w:color w:val="000000"/>
              </w:rPr>
              <w:t>IE06 - Eastern and Midland</w:t>
            </w:r>
            <w:r>
              <w:rPr>
                <w:color w:val="000000"/>
              </w:rPr>
              <w:br/>
              <w:t>IE061 - Dublin</w:t>
            </w:r>
            <w:r>
              <w:rPr>
                <w:color w:val="000000"/>
              </w:rPr>
              <w:br/>
              <w:t>IE062 - Mid-East</w:t>
            </w:r>
            <w:r>
              <w:rPr>
                <w:color w:val="000000"/>
              </w:rPr>
              <w:br/>
              <w:t>IE063 - Midland</w:t>
            </w:r>
            <w:r>
              <w:rPr>
                <w:color w:val="000000"/>
              </w:rPr>
              <w:br/>
              <w:t>IE05 - Southern</w:t>
            </w:r>
            <w:r>
              <w:rPr>
                <w:color w:val="000000"/>
              </w:rPr>
              <w:br/>
              <w:t xml:space="preserve">IE051 - Mid-West </w:t>
            </w:r>
            <w:r>
              <w:rPr>
                <w:color w:val="000000"/>
              </w:rPr>
              <w:br/>
              <w:t xml:space="preserve">IE052 - South-East </w:t>
            </w:r>
            <w:r>
              <w:rPr>
                <w:color w:val="000000"/>
              </w:rPr>
              <w:br/>
              <w:t xml:space="preserve">IE053 - South-West </w:t>
            </w:r>
          </w:p>
        </w:tc>
      </w:tr>
      <w:tr w:rsidR="00B82D50" w14:paraId="7D171D69" w14:textId="77777777">
        <w:trPr>
          <w:trHeight w:val="240"/>
        </w:trPr>
        <w:tc>
          <w:tcPr>
            <w:tcW w:w="1650" w:type="pct"/>
            <w:tcMar>
              <w:left w:w="100" w:type="dxa"/>
              <w:right w:w="100" w:type="dxa"/>
            </w:tcMar>
          </w:tcPr>
          <w:p w14:paraId="4EB90E0C" w14:textId="77777777" w:rsidR="00A77B3E" w:rsidRDefault="00000000">
            <w:pPr>
              <w:rPr>
                <w:color w:val="000000"/>
              </w:rPr>
            </w:pPr>
            <w:r>
              <w:rPr>
                <w:color w:val="000000"/>
              </w:rPr>
              <w:t>Fund(s) concerned</w:t>
            </w:r>
          </w:p>
        </w:tc>
        <w:tc>
          <w:tcPr>
            <w:tcW w:w="1650" w:type="pct"/>
            <w:tcMar>
              <w:left w:w="100" w:type="dxa"/>
              <w:right w:w="100" w:type="dxa"/>
            </w:tcMar>
          </w:tcPr>
          <w:p w14:paraId="2C5CBEF9" w14:textId="77777777" w:rsidR="00A77B3E" w:rsidRDefault="00000000">
            <w:pPr>
              <w:rPr>
                <w:color w:val="000000"/>
              </w:rPr>
            </w:pPr>
            <w:r>
              <w:rPr>
                <w:color w:val="000000"/>
              </w:rPr>
              <w:t>ERDF</w:t>
            </w:r>
          </w:p>
        </w:tc>
      </w:tr>
      <w:tr w:rsidR="00B82D50" w14:paraId="04E759CF" w14:textId="77777777">
        <w:trPr>
          <w:trHeight w:val="240"/>
        </w:trPr>
        <w:tc>
          <w:tcPr>
            <w:tcW w:w="1650" w:type="pct"/>
            <w:tcMar>
              <w:left w:w="100" w:type="dxa"/>
              <w:right w:w="100" w:type="dxa"/>
            </w:tcMar>
          </w:tcPr>
          <w:p w14:paraId="7AD045DE" w14:textId="77777777" w:rsidR="00A77B3E" w:rsidRDefault="00000000">
            <w:pPr>
              <w:rPr>
                <w:color w:val="000000"/>
              </w:rPr>
            </w:pPr>
            <w:r>
              <w:rPr>
                <w:color w:val="000000"/>
              </w:rPr>
              <w:t>Programme</w:t>
            </w:r>
          </w:p>
        </w:tc>
        <w:tc>
          <w:tcPr>
            <w:tcW w:w="1650" w:type="pct"/>
            <w:tcMar>
              <w:left w:w="100" w:type="dxa"/>
              <w:right w:w="100" w:type="dxa"/>
            </w:tcMar>
          </w:tcPr>
          <w:p w14:paraId="23155840" w14:textId="77777777" w:rsidR="00A77B3E" w:rsidRDefault="00000000">
            <w:pPr>
              <w:rPr>
                <w:color w:val="000000"/>
              </w:rPr>
            </w:pP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under Investment for jobs and growth goal for the outermost regions only</w:t>
            </w:r>
          </w:p>
        </w:tc>
      </w:tr>
    </w:tbl>
    <w:p w14:paraId="3A6D0369" w14:textId="77777777" w:rsidR="00A77B3E" w:rsidRDefault="00000000">
      <w:pPr>
        <w:jc w:val="center"/>
        <w:rPr>
          <w:b/>
          <w:color w:val="000000"/>
        </w:rPr>
      </w:pPr>
      <w:r>
        <w:rPr>
          <w:color w:val="000000"/>
        </w:rPr>
        <w:br w:type="page"/>
      </w:r>
      <w:r>
        <w:rPr>
          <w:b/>
          <w:color w:val="000000"/>
        </w:rPr>
        <w:lastRenderedPageBreak/>
        <w:t>Table of Contents</w:t>
      </w:r>
    </w:p>
    <w:p w14:paraId="0328A93E" w14:textId="77777777" w:rsidR="00A77B3E" w:rsidRDefault="00A77B3E">
      <w:pPr>
        <w:jc w:val="center"/>
        <w:rPr>
          <w:color w:val="000000"/>
        </w:rPr>
      </w:pPr>
    </w:p>
    <w:p w14:paraId="49F157AF" w14:textId="77777777" w:rsidR="00B82D50" w:rsidRDefault="00000000">
      <w:pPr>
        <w:pStyle w:val="TOC1"/>
        <w:tabs>
          <w:tab w:val="right" w:leader="dot" w:pos="10240"/>
        </w:tabs>
        <w:rPr>
          <w:rFonts w:ascii="Calibri" w:hAnsi="Calibri"/>
          <w:sz w:val="22"/>
        </w:rPr>
      </w:pPr>
      <w:r>
        <w:rPr>
          <w:color w:val="000000"/>
        </w:rPr>
        <w:fldChar w:fldCharType="begin"/>
      </w:r>
      <w:r w:rsidR="00A77B3E">
        <w:rPr>
          <w:color w:val="000000"/>
        </w:rPr>
        <w:instrText>TOC \o "1-9" \z \u \h</w:instrText>
      </w:r>
      <w:r>
        <w:rPr>
          <w:color w:val="000000"/>
        </w:rPr>
        <w:fldChar w:fldCharType="separate"/>
      </w:r>
      <w:hyperlink w:anchor="_Toc256000157" w:history="1">
        <w:r w:rsidR="00A77B3E">
          <w:rPr>
            <w:rStyle w:val="Hyperlink"/>
          </w:rPr>
          <w:t>1. Programme strategy: main challenges and policy responses</w:t>
        </w:r>
        <w:r>
          <w:tab/>
        </w:r>
        <w:r>
          <w:fldChar w:fldCharType="begin"/>
        </w:r>
        <w:r>
          <w:instrText xml:space="preserve"> PAGEREF _Toc256000157 \h </w:instrText>
        </w:r>
        <w:r>
          <w:fldChar w:fldCharType="separate"/>
        </w:r>
        <w:r>
          <w:t>6</w:t>
        </w:r>
        <w:r>
          <w:fldChar w:fldCharType="end"/>
        </w:r>
      </w:hyperlink>
    </w:p>
    <w:p w14:paraId="4ABDBC34" w14:textId="77777777" w:rsidR="00B82D50" w:rsidRDefault="00A77B3E">
      <w:pPr>
        <w:pStyle w:val="TOC2"/>
        <w:tabs>
          <w:tab w:val="right" w:leader="dot" w:pos="10240"/>
        </w:tabs>
        <w:rPr>
          <w:rFonts w:ascii="Calibri" w:hAnsi="Calibri"/>
          <w:sz w:val="22"/>
        </w:rPr>
      </w:pPr>
      <w:hyperlink w:anchor="_Toc256000158" w:history="1">
        <w:r>
          <w:rPr>
            <w:rStyle w:val="Hyperlink"/>
            <w:rFonts w:ascii="TimesNewRoman" w:eastAsia="TimesNewRoman" w:hAnsi="TimesNewRoman" w:cs="TimesNewRoman"/>
          </w:rPr>
          <w:t>Table 1</w:t>
        </w:r>
        <w:r w:rsidR="00000000">
          <w:tab/>
        </w:r>
        <w:r w:rsidR="00000000">
          <w:fldChar w:fldCharType="begin"/>
        </w:r>
        <w:r w:rsidR="00000000">
          <w:instrText xml:space="preserve"> PAGEREF _Toc256000158 \h </w:instrText>
        </w:r>
        <w:r w:rsidR="00000000">
          <w:fldChar w:fldCharType="separate"/>
        </w:r>
        <w:r w:rsidR="00000000">
          <w:t>16</w:t>
        </w:r>
        <w:r w:rsidR="00000000">
          <w:fldChar w:fldCharType="end"/>
        </w:r>
      </w:hyperlink>
    </w:p>
    <w:p w14:paraId="6BE9E962" w14:textId="77777777" w:rsidR="00B82D50" w:rsidRDefault="00A77B3E">
      <w:pPr>
        <w:pStyle w:val="TOC1"/>
        <w:tabs>
          <w:tab w:val="right" w:leader="dot" w:pos="10240"/>
        </w:tabs>
        <w:rPr>
          <w:rFonts w:ascii="Calibri" w:hAnsi="Calibri"/>
          <w:sz w:val="22"/>
        </w:rPr>
      </w:pPr>
      <w:hyperlink w:anchor="_Toc256000159" w:history="1">
        <w:r>
          <w:rPr>
            <w:rStyle w:val="Hyperlink"/>
          </w:rPr>
          <w:t>2. Priorities</w:t>
        </w:r>
        <w:r w:rsidR="00000000">
          <w:tab/>
        </w:r>
        <w:r w:rsidR="00000000">
          <w:fldChar w:fldCharType="begin"/>
        </w:r>
        <w:r w:rsidR="00000000">
          <w:instrText xml:space="preserve"> PAGEREF _Toc256000159 \h </w:instrText>
        </w:r>
        <w:r w:rsidR="00000000">
          <w:fldChar w:fldCharType="separate"/>
        </w:r>
        <w:r w:rsidR="00000000">
          <w:t>25</w:t>
        </w:r>
        <w:r w:rsidR="00000000">
          <w:fldChar w:fldCharType="end"/>
        </w:r>
      </w:hyperlink>
    </w:p>
    <w:p w14:paraId="07AB5448" w14:textId="77777777" w:rsidR="00B82D50" w:rsidRDefault="00A77B3E">
      <w:pPr>
        <w:pStyle w:val="TOC2"/>
        <w:tabs>
          <w:tab w:val="right" w:leader="dot" w:pos="10240"/>
        </w:tabs>
        <w:rPr>
          <w:rFonts w:ascii="Calibri" w:hAnsi="Calibri"/>
          <w:sz w:val="22"/>
        </w:rPr>
      </w:pPr>
      <w:hyperlink w:anchor="_Toc256000160" w:history="1">
        <w:r>
          <w:rPr>
            <w:rStyle w:val="Hyperlink"/>
            <w:rFonts w:ascii="TimesNewRoman" w:eastAsia="TimesNewRoman" w:hAnsi="TimesNewRoman" w:cs="TimesNewRoman"/>
          </w:rPr>
          <w:t>2.1. Priorities other than technical assistance</w:t>
        </w:r>
        <w:r w:rsidR="00000000">
          <w:tab/>
        </w:r>
        <w:r w:rsidR="00000000">
          <w:fldChar w:fldCharType="begin"/>
        </w:r>
        <w:r w:rsidR="00000000">
          <w:instrText xml:space="preserve"> PAGEREF _Toc256000160 \h </w:instrText>
        </w:r>
        <w:r w:rsidR="00000000">
          <w:fldChar w:fldCharType="separate"/>
        </w:r>
        <w:r w:rsidR="00000000">
          <w:t>25</w:t>
        </w:r>
        <w:r w:rsidR="00000000">
          <w:fldChar w:fldCharType="end"/>
        </w:r>
      </w:hyperlink>
    </w:p>
    <w:p w14:paraId="52CD156A" w14:textId="77777777" w:rsidR="00B82D50" w:rsidRDefault="00A77B3E">
      <w:pPr>
        <w:pStyle w:val="TOC3"/>
        <w:tabs>
          <w:tab w:val="right" w:leader="dot" w:pos="10240"/>
        </w:tabs>
        <w:rPr>
          <w:rFonts w:ascii="Calibri" w:hAnsi="Calibri"/>
          <w:sz w:val="22"/>
        </w:rPr>
      </w:pPr>
      <w:hyperlink w:anchor="_Toc256000161" w:history="1">
        <w:r>
          <w:rPr>
            <w:rStyle w:val="Hyperlink"/>
          </w:rPr>
          <w:t>2.1.1. Priority: SEM1. Smarter and More Competitive Regions</w:t>
        </w:r>
        <w:r w:rsidR="00000000">
          <w:tab/>
        </w:r>
        <w:r w:rsidR="00000000">
          <w:fldChar w:fldCharType="begin"/>
        </w:r>
        <w:r w:rsidR="00000000">
          <w:instrText xml:space="preserve"> PAGEREF _Toc256000161 \h </w:instrText>
        </w:r>
        <w:r w:rsidR="00000000">
          <w:fldChar w:fldCharType="separate"/>
        </w:r>
        <w:r w:rsidR="00000000">
          <w:t>25</w:t>
        </w:r>
        <w:r w:rsidR="00000000">
          <w:fldChar w:fldCharType="end"/>
        </w:r>
      </w:hyperlink>
    </w:p>
    <w:p w14:paraId="20BB5362" w14:textId="77777777" w:rsidR="00B82D50" w:rsidRDefault="00A77B3E">
      <w:pPr>
        <w:pStyle w:val="TOC4"/>
        <w:tabs>
          <w:tab w:val="right" w:leader="dot" w:pos="10240"/>
        </w:tabs>
        <w:rPr>
          <w:rFonts w:ascii="Calibri" w:hAnsi="Calibri"/>
          <w:sz w:val="22"/>
        </w:rPr>
      </w:pPr>
      <w:hyperlink w:anchor="_Toc256000162" w:history="1">
        <w:r>
          <w:rPr>
            <w:rStyle w:val="Hyperlink"/>
          </w:rPr>
          <w:t>2.1.1.1. Specific objective: RSO1.1. Developing and enhancing research and innovation capacities and the uptake of advanced technologies (ERDF)</w:t>
        </w:r>
        <w:r w:rsidR="00000000">
          <w:tab/>
        </w:r>
        <w:r w:rsidR="00000000">
          <w:fldChar w:fldCharType="begin"/>
        </w:r>
        <w:r w:rsidR="00000000">
          <w:instrText xml:space="preserve"> PAGEREF _Toc256000162 \h </w:instrText>
        </w:r>
        <w:r w:rsidR="00000000">
          <w:fldChar w:fldCharType="separate"/>
        </w:r>
        <w:r w:rsidR="00000000">
          <w:t>25</w:t>
        </w:r>
        <w:r w:rsidR="00000000">
          <w:fldChar w:fldCharType="end"/>
        </w:r>
      </w:hyperlink>
    </w:p>
    <w:p w14:paraId="4D7AA234" w14:textId="77777777" w:rsidR="00B82D50" w:rsidRDefault="00A77B3E">
      <w:pPr>
        <w:pStyle w:val="TOC4"/>
        <w:tabs>
          <w:tab w:val="right" w:leader="dot" w:pos="10240"/>
        </w:tabs>
        <w:rPr>
          <w:rFonts w:ascii="Calibri" w:hAnsi="Calibri"/>
          <w:sz w:val="22"/>
        </w:rPr>
      </w:pPr>
      <w:hyperlink w:anchor="_Toc256000163" w:history="1">
        <w:r>
          <w:rPr>
            <w:rStyle w:val="Hyperlink"/>
          </w:rPr>
          <w:t>2.1.1.1.1. Interventions of the Funds</w:t>
        </w:r>
        <w:r w:rsidR="00000000">
          <w:tab/>
        </w:r>
        <w:r w:rsidR="00000000">
          <w:fldChar w:fldCharType="begin"/>
        </w:r>
        <w:r w:rsidR="00000000">
          <w:instrText xml:space="preserve"> PAGEREF _Toc256000163 \h </w:instrText>
        </w:r>
        <w:r w:rsidR="00000000">
          <w:fldChar w:fldCharType="separate"/>
        </w:r>
        <w:r w:rsidR="00000000">
          <w:t>25</w:t>
        </w:r>
        <w:r w:rsidR="00000000">
          <w:fldChar w:fldCharType="end"/>
        </w:r>
      </w:hyperlink>
    </w:p>
    <w:p w14:paraId="74AD894B" w14:textId="77777777" w:rsidR="00B82D50" w:rsidRDefault="00A77B3E">
      <w:pPr>
        <w:pStyle w:val="TOC5"/>
        <w:tabs>
          <w:tab w:val="right" w:leader="dot" w:pos="10240"/>
        </w:tabs>
        <w:rPr>
          <w:rFonts w:ascii="Calibri" w:hAnsi="Calibri"/>
          <w:sz w:val="22"/>
        </w:rPr>
      </w:pPr>
      <w:hyperlink w:anchor="_Toc256000164" w:history="1">
        <w:r>
          <w:rPr>
            <w:rStyle w:val="Hyperlink"/>
          </w:rPr>
          <w:t>The related types of actions – point (d)(i) of Article 22(3) CPR and Article 6 ESF+ Regulation:</w:t>
        </w:r>
        <w:r w:rsidR="00000000">
          <w:tab/>
        </w:r>
        <w:r w:rsidR="00000000">
          <w:fldChar w:fldCharType="begin"/>
        </w:r>
        <w:r w:rsidR="00000000">
          <w:instrText xml:space="preserve"> PAGEREF _Toc256000164 \h </w:instrText>
        </w:r>
        <w:r w:rsidR="00000000">
          <w:fldChar w:fldCharType="separate"/>
        </w:r>
        <w:r w:rsidR="00000000">
          <w:t>25</w:t>
        </w:r>
        <w:r w:rsidR="00000000">
          <w:fldChar w:fldCharType="end"/>
        </w:r>
      </w:hyperlink>
    </w:p>
    <w:p w14:paraId="4078EB5F" w14:textId="77777777" w:rsidR="00B82D50" w:rsidRDefault="00A77B3E">
      <w:pPr>
        <w:pStyle w:val="TOC5"/>
        <w:tabs>
          <w:tab w:val="right" w:leader="dot" w:pos="10240"/>
        </w:tabs>
        <w:rPr>
          <w:rFonts w:ascii="Calibri" w:hAnsi="Calibri"/>
          <w:sz w:val="22"/>
        </w:rPr>
      </w:pPr>
      <w:hyperlink w:anchor="_Toc256000165" w:history="1">
        <w:r>
          <w:rPr>
            <w:rStyle w:val="Hyperlink"/>
          </w:rPr>
          <w:t>The main target groups - point (d)(iii) of Article 22(3) CPR:</w:t>
        </w:r>
        <w:r w:rsidR="00000000">
          <w:tab/>
        </w:r>
        <w:r w:rsidR="00000000">
          <w:fldChar w:fldCharType="begin"/>
        </w:r>
        <w:r w:rsidR="00000000">
          <w:instrText xml:space="preserve"> PAGEREF _Toc256000165 \h </w:instrText>
        </w:r>
        <w:r w:rsidR="00000000">
          <w:fldChar w:fldCharType="separate"/>
        </w:r>
        <w:r w:rsidR="00000000">
          <w:t>27</w:t>
        </w:r>
        <w:r w:rsidR="00000000">
          <w:fldChar w:fldCharType="end"/>
        </w:r>
      </w:hyperlink>
    </w:p>
    <w:p w14:paraId="79EA6F5A" w14:textId="77777777" w:rsidR="00B82D50" w:rsidRDefault="00A77B3E">
      <w:pPr>
        <w:pStyle w:val="TOC5"/>
        <w:tabs>
          <w:tab w:val="right" w:leader="dot" w:pos="10240"/>
        </w:tabs>
        <w:rPr>
          <w:rFonts w:ascii="Calibri" w:hAnsi="Calibri"/>
          <w:sz w:val="22"/>
        </w:rPr>
      </w:pPr>
      <w:hyperlink w:anchor="_Toc256000166" w:history="1">
        <w:r>
          <w:rPr>
            <w:rStyle w:val="Hyperlink"/>
          </w:rPr>
          <w:t>Actions safeguarding equality, inclusion and non-discrimination – point (d)(iv) of Article 22(3) CPR and Article 6 ESF+ Regulation</w:t>
        </w:r>
        <w:r w:rsidR="00000000">
          <w:tab/>
        </w:r>
        <w:r w:rsidR="00000000">
          <w:fldChar w:fldCharType="begin"/>
        </w:r>
        <w:r w:rsidR="00000000">
          <w:instrText xml:space="preserve"> PAGEREF _Toc256000166 \h </w:instrText>
        </w:r>
        <w:r w:rsidR="00000000">
          <w:fldChar w:fldCharType="separate"/>
        </w:r>
        <w:r w:rsidR="00000000">
          <w:t>28</w:t>
        </w:r>
        <w:r w:rsidR="00000000">
          <w:fldChar w:fldCharType="end"/>
        </w:r>
      </w:hyperlink>
    </w:p>
    <w:p w14:paraId="31BED9B7" w14:textId="77777777" w:rsidR="00B82D50" w:rsidRDefault="00A77B3E">
      <w:pPr>
        <w:pStyle w:val="TOC5"/>
        <w:tabs>
          <w:tab w:val="right" w:leader="dot" w:pos="10240"/>
        </w:tabs>
        <w:rPr>
          <w:rFonts w:ascii="Calibri" w:hAnsi="Calibri"/>
          <w:sz w:val="22"/>
        </w:rPr>
      </w:pPr>
      <w:hyperlink w:anchor="_Toc256000167" w:history="1">
        <w:r>
          <w:rPr>
            <w:rStyle w:val="Hyperlink"/>
          </w:rPr>
          <w:t>Indication of the specific territories targeted, including the planned use of territorial tools – point (d)(v) of Article 22(3) CPR</w:t>
        </w:r>
        <w:r w:rsidR="00000000">
          <w:tab/>
        </w:r>
        <w:r w:rsidR="00000000">
          <w:fldChar w:fldCharType="begin"/>
        </w:r>
        <w:r w:rsidR="00000000">
          <w:instrText xml:space="preserve"> PAGEREF _Toc256000167 \h </w:instrText>
        </w:r>
        <w:r w:rsidR="00000000">
          <w:fldChar w:fldCharType="separate"/>
        </w:r>
        <w:r w:rsidR="00000000">
          <w:t>29</w:t>
        </w:r>
        <w:r w:rsidR="00000000">
          <w:fldChar w:fldCharType="end"/>
        </w:r>
      </w:hyperlink>
    </w:p>
    <w:p w14:paraId="01B30B70" w14:textId="77777777" w:rsidR="00B82D50" w:rsidRDefault="00A77B3E">
      <w:pPr>
        <w:pStyle w:val="TOC5"/>
        <w:tabs>
          <w:tab w:val="right" w:leader="dot" w:pos="10240"/>
        </w:tabs>
        <w:rPr>
          <w:rFonts w:ascii="Calibri" w:hAnsi="Calibri"/>
          <w:sz w:val="22"/>
        </w:rPr>
      </w:pPr>
      <w:hyperlink w:anchor="_Toc256000168" w:history="1">
        <w:r>
          <w:rPr>
            <w:rStyle w:val="Hyperlink"/>
          </w:rPr>
          <w:t>The interregional, cross-border and transnational actions – point (d)(vi) of Article 22(3) CPR</w:t>
        </w:r>
        <w:r w:rsidR="00000000">
          <w:tab/>
        </w:r>
        <w:r w:rsidR="00000000">
          <w:fldChar w:fldCharType="begin"/>
        </w:r>
        <w:r w:rsidR="00000000">
          <w:instrText xml:space="preserve"> PAGEREF _Toc256000168 \h </w:instrText>
        </w:r>
        <w:r w:rsidR="00000000">
          <w:fldChar w:fldCharType="separate"/>
        </w:r>
        <w:r w:rsidR="00000000">
          <w:t>29</w:t>
        </w:r>
        <w:r w:rsidR="00000000">
          <w:fldChar w:fldCharType="end"/>
        </w:r>
      </w:hyperlink>
    </w:p>
    <w:p w14:paraId="4CCA85E1" w14:textId="77777777" w:rsidR="00B82D50" w:rsidRDefault="00A77B3E">
      <w:pPr>
        <w:pStyle w:val="TOC5"/>
        <w:tabs>
          <w:tab w:val="right" w:leader="dot" w:pos="10240"/>
        </w:tabs>
        <w:rPr>
          <w:rFonts w:ascii="Calibri" w:hAnsi="Calibri"/>
          <w:sz w:val="22"/>
        </w:rPr>
      </w:pPr>
      <w:hyperlink w:anchor="_Toc256000169" w:history="1">
        <w:r>
          <w:rPr>
            <w:rStyle w:val="Hyperlink"/>
          </w:rPr>
          <w:t>The planned use of financial instruments – point (d)(vii) of Article 22(3) CPR</w:t>
        </w:r>
        <w:r w:rsidR="00000000">
          <w:tab/>
        </w:r>
        <w:r w:rsidR="00000000">
          <w:fldChar w:fldCharType="begin"/>
        </w:r>
        <w:r w:rsidR="00000000">
          <w:instrText xml:space="preserve"> PAGEREF _Toc256000169 \h </w:instrText>
        </w:r>
        <w:r w:rsidR="00000000">
          <w:fldChar w:fldCharType="separate"/>
        </w:r>
        <w:r w:rsidR="00000000">
          <w:t>30</w:t>
        </w:r>
        <w:r w:rsidR="00000000">
          <w:fldChar w:fldCharType="end"/>
        </w:r>
      </w:hyperlink>
    </w:p>
    <w:p w14:paraId="107ED971" w14:textId="77777777" w:rsidR="00B82D50" w:rsidRDefault="00A77B3E">
      <w:pPr>
        <w:pStyle w:val="TOC4"/>
        <w:tabs>
          <w:tab w:val="right" w:leader="dot" w:pos="10240"/>
        </w:tabs>
        <w:rPr>
          <w:rFonts w:ascii="Calibri" w:hAnsi="Calibri"/>
          <w:sz w:val="22"/>
        </w:rPr>
      </w:pPr>
      <w:hyperlink w:anchor="_Toc256000170" w:history="1">
        <w:r>
          <w:rPr>
            <w:rStyle w:val="Hyperlink"/>
          </w:rPr>
          <w:t>2.1.1.1.2. Indicators</w:t>
        </w:r>
        <w:r w:rsidR="00000000">
          <w:tab/>
        </w:r>
        <w:r w:rsidR="00000000">
          <w:fldChar w:fldCharType="begin"/>
        </w:r>
        <w:r w:rsidR="00000000">
          <w:instrText xml:space="preserve"> PAGEREF _Toc256000170 \h </w:instrText>
        </w:r>
        <w:r w:rsidR="00000000">
          <w:fldChar w:fldCharType="separate"/>
        </w:r>
        <w:r w:rsidR="00000000">
          <w:t>30</w:t>
        </w:r>
        <w:r w:rsidR="00000000">
          <w:fldChar w:fldCharType="end"/>
        </w:r>
      </w:hyperlink>
    </w:p>
    <w:p w14:paraId="6D688037" w14:textId="77777777" w:rsidR="00B82D50" w:rsidRDefault="00A77B3E">
      <w:pPr>
        <w:pStyle w:val="TOC5"/>
        <w:tabs>
          <w:tab w:val="right" w:leader="dot" w:pos="10240"/>
        </w:tabs>
        <w:rPr>
          <w:rFonts w:ascii="Calibri" w:hAnsi="Calibri"/>
          <w:sz w:val="22"/>
        </w:rPr>
      </w:pPr>
      <w:hyperlink w:anchor="_Toc256000171" w:history="1">
        <w:r>
          <w:rPr>
            <w:rStyle w:val="Hyperlink"/>
          </w:rPr>
          <w:t>Table 2: Output indicators</w:t>
        </w:r>
        <w:r w:rsidR="00000000">
          <w:tab/>
        </w:r>
        <w:r w:rsidR="00000000">
          <w:fldChar w:fldCharType="begin"/>
        </w:r>
        <w:r w:rsidR="00000000">
          <w:instrText xml:space="preserve"> PAGEREF _Toc256000171 \h </w:instrText>
        </w:r>
        <w:r w:rsidR="00000000">
          <w:fldChar w:fldCharType="separate"/>
        </w:r>
        <w:r w:rsidR="00000000">
          <w:t>30</w:t>
        </w:r>
        <w:r w:rsidR="00000000">
          <w:fldChar w:fldCharType="end"/>
        </w:r>
      </w:hyperlink>
    </w:p>
    <w:p w14:paraId="5D0BB8B6" w14:textId="77777777" w:rsidR="00B82D50" w:rsidRDefault="00A77B3E">
      <w:pPr>
        <w:pStyle w:val="TOC5"/>
        <w:tabs>
          <w:tab w:val="right" w:leader="dot" w:pos="10240"/>
        </w:tabs>
        <w:rPr>
          <w:rFonts w:ascii="Calibri" w:hAnsi="Calibri"/>
          <w:sz w:val="22"/>
        </w:rPr>
      </w:pPr>
      <w:hyperlink w:anchor="_Toc256000172" w:history="1">
        <w:r>
          <w:rPr>
            <w:rStyle w:val="Hyperlink"/>
          </w:rPr>
          <w:t>Table 3: Result indicators</w:t>
        </w:r>
        <w:r w:rsidR="00000000">
          <w:tab/>
        </w:r>
        <w:r w:rsidR="00000000">
          <w:fldChar w:fldCharType="begin"/>
        </w:r>
        <w:r w:rsidR="00000000">
          <w:instrText xml:space="preserve"> PAGEREF _Toc256000172 \h </w:instrText>
        </w:r>
        <w:r w:rsidR="00000000">
          <w:fldChar w:fldCharType="separate"/>
        </w:r>
        <w:r w:rsidR="00000000">
          <w:t>30</w:t>
        </w:r>
        <w:r w:rsidR="00000000">
          <w:fldChar w:fldCharType="end"/>
        </w:r>
      </w:hyperlink>
    </w:p>
    <w:p w14:paraId="25BA0C57" w14:textId="77777777" w:rsidR="00B82D50" w:rsidRDefault="00A77B3E">
      <w:pPr>
        <w:pStyle w:val="TOC4"/>
        <w:tabs>
          <w:tab w:val="right" w:leader="dot" w:pos="10240"/>
        </w:tabs>
        <w:rPr>
          <w:rFonts w:ascii="Calibri" w:hAnsi="Calibri"/>
          <w:sz w:val="22"/>
        </w:rPr>
      </w:pPr>
      <w:hyperlink w:anchor="_Toc256000173" w:history="1">
        <w:r>
          <w:rPr>
            <w:rStyle w:val="Hyperlink"/>
          </w:rPr>
          <w:t>2.1.1.1.3. Indicative breakdown of the programmed resources (EU) by type of intervention</w:t>
        </w:r>
        <w:r w:rsidR="00000000">
          <w:tab/>
        </w:r>
        <w:r w:rsidR="00000000">
          <w:fldChar w:fldCharType="begin"/>
        </w:r>
        <w:r w:rsidR="00000000">
          <w:instrText xml:space="preserve"> PAGEREF _Toc256000173 \h </w:instrText>
        </w:r>
        <w:r w:rsidR="00000000">
          <w:fldChar w:fldCharType="separate"/>
        </w:r>
        <w:r w:rsidR="00000000">
          <w:t>31</w:t>
        </w:r>
        <w:r w:rsidR="00000000">
          <w:fldChar w:fldCharType="end"/>
        </w:r>
      </w:hyperlink>
    </w:p>
    <w:p w14:paraId="6D78207F" w14:textId="77777777" w:rsidR="00B82D50" w:rsidRDefault="00A77B3E">
      <w:pPr>
        <w:pStyle w:val="TOC5"/>
        <w:tabs>
          <w:tab w:val="right" w:leader="dot" w:pos="10240"/>
        </w:tabs>
        <w:rPr>
          <w:rFonts w:ascii="Calibri" w:hAnsi="Calibri"/>
          <w:sz w:val="22"/>
        </w:rPr>
      </w:pPr>
      <w:hyperlink w:anchor="_Toc256000174" w:history="1">
        <w:r>
          <w:rPr>
            <w:rStyle w:val="Hyperlink"/>
          </w:rPr>
          <w:t>Table 4: Dimension 1 - intervention field</w:t>
        </w:r>
        <w:r w:rsidR="00000000">
          <w:tab/>
        </w:r>
        <w:r w:rsidR="00000000">
          <w:fldChar w:fldCharType="begin"/>
        </w:r>
        <w:r w:rsidR="00000000">
          <w:instrText xml:space="preserve"> PAGEREF _Toc256000174 \h </w:instrText>
        </w:r>
        <w:r w:rsidR="00000000">
          <w:fldChar w:fldCharType="separate"/>
        </w:r>
        <w:r w:rsidR="00000000">
          <w:t>31</w:t>
        </w:r>
        <w:r w:rsidR="00000000">
          <w:fldChar w:fldCharType="end"/>
        </w:r>
      </w:hyperlink>
    </w:p>
    <w:p w14:paraId="34839F80" w14:textId="77777777" w:rsidR="00B82D50" w:rsidRDefault="00A77B3E">
      <w:pPr>
        <w:pStyle w:val="TOC5"/>
        <w:tabs>
          <w:tab w:val="right" w:leader="dot" w:pos="10240"/>
        </w:tabs>
        <w:rPr>
          <w:rFonts w:ascii="Calibri" w:hAnsi="Calibri"/>
          <w:sz w:val="22"/>
        </w:rPr>
      </w:pPr>
      <w:hyperlink w:anchor="_Toc256000175" w:history="1">
        <w:r>
          <w:rPr>
            <w:rStyle w:val="Hyperlink"/>
          </w:rPr>
          <w:t>Table 5: Dimension 2 - form of financing</w:t>
        </w:r>
        <w:r w:rsidR="00000000">
          <w:tab/>
        </w:r>
        <w:r w:rsidR="00000000">
          <w:fldChar w:fldCharType="begin"/>
        </w:r>
        <w:r w:rsidR="00000000">
          <w:instrText xml:space="preserve"> PAGEREF _Toc256000175 \h </w:instrText>
        </w:r>
        <w:r w:rsidR="00000000">
          <w:fldChar w:fldCharType="separate"/>
        </w:r>
        <w:r w:rsidR="00000000">
          <w:t>31</w:t>
        </w:r>
        <w:r w:rsidR="00000000">
          <w:fldChar w:fldCharType="end"/>
        </w:r>
      </w:hyperlink>
    </w:p>
    <w:p w14:paraId="388AB29D" w14:textId="77777777" w:rsidR="00B82D50" w:rsidRDefault="00A77B3E">
      <w:pPr>
        <w:pStyle w:val="TOC5"/>
        <w:tabs>
          <w:tab w:val="right" w:leader="dot" w:pos="10240"/>
        </w:tabs>
        <w:rPr>
          <w:rFonts w:ascii="Calibri" w:hAnsi="Calibri"/>
          <w:sz w:val="22"/>
        </w:rPr>
      </w:pPr>
      <w:hyperlink w:anchor="_Toc256000176" w:history="1">
        <w:r>
          <w:rPr>
            <w:rStyle w:val="Hyperlink"/>
          </w:rPr>
          <w:t>Table 6: Dimension 3 – territorial delivery mechanism and territorial focus</w:t>
        </w:r>
        <w:r w:rsidR="00000000">
          <w:tab/>
        </w:r>
        <w:r w:rsidR="00000000">
          <w:fldChar w:fldCharType="begin"/>
        </w:r>
        <w:r w:rsidR="00000000">
          <w:instrText xml:space="preserve"> PAGEREF _Toc256000176 \h </w:instrText>
        </w:r>
        <w:r w:rsidR="00000000">
          <w:fldChar w:fldCharType="separate"/>
        </w:r>
        <w:r w:rsidR="00000000">
          <w:t>32</w:t>
        </w:r>
        <w:r w:rsidR="00000000">
          <w:fldChar w:fldCharType="end"/>
        </w:r>
      </w:hyperlink>
    </w:p>
    <w:p w14:paraId="3BF304F5" w14:textId="77777777" w:rsidR="00B82D50" w:rsidRDefault="00A77B3E">
      <w:pPr>
        <w:pStyle w:val="TOC5"/>
        <w:tabs>
          <w:tab w:val="right" w:leader="dot" w:pos="10240"/>
        </w:tabs>
        <w:rPr>
          <w:rFonts w:ascii="Calibri" w:hAnsi="Calibri"/>
          <w:sz w:val="22"/>
        </w:rPr>
      </w:pPr>
      <w:hyperlink w:anchor="_Toc256000177" w:history="1">
        <w:r>
          <w:rPr>
            <w:rStyle w:val="Hyperlink"/>
          </w:rPr>
          <w:t>Table 7: Dimension 6 – ESF+ secondary themes</w:t>
        </w:r>
        <w:r w:rsidR="00000000">
          <w:tab/>
        </w:r>
        <w:r w:rsidR="00000000">
          <w:fldChar w:fldCharType="begin"/>
        </w:r>
        <w:r w:rsidR="00000000">
          <w:instrText xml:space="preserve"> PAGEREF _Toc256000177 \h </w:instrText>
        </w:r>
        <w:r w:rsidR="00000000">
          <w:fldChar w:fldCharType="separate"/>
        </w:r>
        <w:r w:rsidR="00000000">
          <w:t>32</w:t>
        </w:r>
        <w:r w:rsidR="00000000">
          <w:fldChar w:fldCharType="end"/>
        </w:r>
      </w:hyperlink>
    </w:p>
    <w:p w14:paraId="7511EF43" w14:textId="77777777" w:rsidR="00B82D50" w:rsidRDefault="00A77B3E">
      <w:pPr>
        <w:pStyle w:val="TOC5"/>
        <w:tabs>
          <w:tab w:val="right" w:leader="dot" w:pos="10240"/>
        </w:tabs>
        <w:rPr>
          <w:rFonts w:ascii="Calibri" w:hAnsi="Calibri"/>
          <w:sz w:val="22"/>
        </w:rPr>
      </w:pPr>
      <w:hyperlink w:anchor="_Toc256000178" w:history="1">
        <w:r>
          <w:rPr>
            <w:rStyle w:val="Hyperlink"/>
          </w:rPr>
          <w:t>Table 8: Dimension 7 – ESF+*, ERDF, Cohesion Fund and JTF gender equality dimension</w:t>
        </w:r>
        <w:r w:rsidR="00000000">
          <w:tab/>
        </w:r>
        <w:r w:rsidR="00000000">
          <w:fldChar w:fldCharType="begin"/>
        </w:r>
        <w:r w:rsidR="00000000">
          <w:instrText xml:space="preserve"> PAGEREF _Toc256000178 \h </w:instrText>
        </w:r>
        <w:r w:rsidR="00000000">
          <w:fldChar w:fldCharType="separate"/>
        </w:r>
        <w:r w:rsidR="00000000">
          <w:t>32</w:t>
        </w:r>
        <w:r w:rsidR="00000000">
          <w:fldChar w:fldCharType="end"/>
        </w:r>
      </w:hyperlink>
    </w:p>
    <w:p w14:paraId="4C14C963" w14:textId="77777777" w:rsidR="00B82D50" w:rsidRDefault="00A77B3E">
      <w:pPr>
        <w:pStyle w:val="TOC4"/>
        <w:tabs>
          <w:tab w:val="right" w:leader="dot" w:pos="10240"/>
        </w:tabs>
        <w:rPr>
          <w:rFonts w:ascii="Calibri" w:hAnsi="Calibri"/>
          <w:sz w:val="22"/>
        </w:rPr>
      </w:pPr>
      <w:hyperlink w:anchor="_Toc256000179" w:history="1">
        <w:r>
          <w:rPr>
            <w:rStyle w:val="Hyperlink"/>
          </w:rPr>
          <w:t>2.1.1.1. Specific objective: RSO1.3. Enhancing sustainable growth and competitiveness of SMEs and job creation in SMEs, including by productive investments (ERDF)</w:t>
        </w:r>
        <w:r w:rsidR="00000000">
          <w:tab/>
        </w:r>
        <w:r w:rsidR="00000000">
          <w:fldChar w:fldCharType="begin"/>
        </w:r>
        <w:r w:rsidR="00000000">
          <w:instrText xml:space="preserve"> PAGEREF _Toc256000179 \h </w:instrText>
        </w:r>
        <w:r w:rsidR="00000000">
          <w:fldChar w:fldCharType="separate"/>
        </w:r>
        <w:r w:rsidR="00000000">
          <w:t>33</w:t>
        </w:r>
        <w:r w:rsidR="00000000">
          <w:fldChar w:fldCharType="end"/>
        </w:r>
      </w:hyperlink>
    </w:p>
    <w:p w14:paraId="547EB21B" w14:textId="77777777" w:rsidR="00B82D50" w:rsidRDefault="00A77B3E">
      <w:pPr>
        <w:pStyle w:val="TOC4"/>
        <w:tabs>
          <w:tab w:val="right" w:leader="dot" w:pos="10240"/>
        </w:tabs>
        <w:rPr>
          <w:rFonts w:ascii="Calibri" w:hAnsi="Calibri"/>
          <w:sz w:val="22"/>
        </w:rPr>
      </w:pPr>
      <w:hyperlink w:anchor="_Toc256000180" w:history="1">
        <w:r>
          <w:rPr>
            <w:rStyle w:val="Hyperlink"/>
          </w:rPr>
          <w:t>2.1.1.1.1. Interventions of the Funds</w:t>
        </w:r>
        <w:r w:rsidR="00000000">
          <w:tab/>
        </w:r>
        <w:r w:rsidR="00000000">
          <w:fldChar w:fldCharType="begin"/>
        </w:r>
        <w:r w:rsidR="00000000">
          <w:instrText xml:space="preserve"> PAGEREF _Toc256000180 \h </w:instrText>
        </w:r>
        <w:r w:rsidR="00000000">
          <w:fldChar w:fldCharType="separate"/>
        </w:r>
        <w:r w:rsidR="00000000">
          <w:t>33</w:t>
        </w:r>
        <w:r w:rsidR="00000000">
          <w:fldChar w:fldCharType="end"/>
        </w:r>
      </w:hyperlink>
    </w:p>
    <w:p w14:paraId="1B83992B" w14:textId="77777777" w:rsidR="00B82D50" w:rsidRDefault="00A77B3E">
      <w:pPr>
        <w:pStyle w:val="TOC5"/>
        <w:tabs>
          <w:tab w:val="right" w:leader="dot" w:pos="10240"/>
        </w:tabs>
        <w:rPr>
          <w:rFonts w:ascii="Calibri" w:hAnsi="Calibri"/>
          <w:sz w:val="22"/>
        </w:rPr>
      </w:pPr>
      <w:hyperlink w:anchor="_Toc256000181" w:history="1">
        <w:r>
          <w:rPr>
            <w:rStyle w:val="Hyperlink"/>
          </w:rPr>
          <w:t>The related types of actions – point (d)(i) of Article 22(3) CPR and Article 6 ESF+ Regulation:</w:t>
        </w:r>
        <w:r w:rsidR="00000000">
          <w:tab/>
        </w:r>
        <w:r w:rsidR="00000000">
          <w:fldChar w:fldCharType="begin"/>
        </w:r>
        <w:r w:rsidR="00000000">
          <w:instrText xml:space="preserve"> PAGEREF _Toc256000181 \h </w:instrText>
        </w:r>
        <w:r w:rsidR="00000000">
          <w:fldChar w:fldCharType="separate"/>
        </w:r>
        <w:r w:rsidR="00000000">
          <w:t>33</w:t>
        </w:r>
        <w:r w:rsidR="00000000">
          <w:fldChar w:fldCharType="end"/>
        </w:r>
      </w:hyperlink>
    </w:p>
    <w:p w14:paraId="2297B48E" w14:textId="77777777" w:rsidR="00B82D50" w:rsidRDefault="00A77B3E">
      <w:pPr>
        <w:pStyle w:val="TOC5"/>
        <w:tabs>
          <w:tab w:val="right" w:leader="dot" w:pos="10240"/>
        </w:tabs>
        <w:rPr>
          <w:rFonts w:ascii="Calibri" w:hAnsi="Calibri"/>
          <w:sz w:val="22"/>
        </w:rPr>
      </w:pPr>
      <w:hyperlink w:anchor="_Toc256000182" w:history="1">
        <w:r>
          <w:rPr>
            <w:rStyle w:val="Hyperlink"/>
          </w:rPr>
          <w:t>The main target groups - point (d)(iii) of Article 22(3) CPR:</w:t>
        </w:r>
        <w:r w:rsidR="00000000">
          <w:tab/>
        </w:r>
        <w:r w:rsidR="00000000">
          <w:fldChar w:fldCharType="begin"/>
        </w:r>
        <w:r w:rsidR="00000000">
          <w:instrText xml:space="preserve"> PAGEREF _Toc256000182 \h </w:instrText>
        </w:r>
        <w:r w:rsidR="00000000">
          <w:fldChar w:fldCharType="separate"/>
        </w:r>
        <w:r w:rsidR="00000000">
          <w:t>35</w:t>
        </w:r>
        <w:r w:rsidR="00000000">
          <w:fldChar w:fldCharType="end"/>
        </w:r>
      </w:hyperlink>
    </w:p>
    <w:p w14:paraId="30F66C53" w14:textId="77777777" w:rsidR="00B82D50" w:rsidRDefault="00A77B3E">
      <w:pPr>
        <w:pStyle w:val="TOC5"/>
        <w:tabs>
          <w:tab w:val="right" w:leader="dot" w:pos="10240"/>
        </w:tabs>
        <w:rPr>
          <w:rFonts w:ascii="Calibri" w:hAnsi="Calibri"/>
          <w:sz w:val="22"/>
        </w:rPr>
      </w:pPr>
      <w:hyperlink w:anchor="_Toc256000183" w:history="1">
        <w:r>
          <w:rPr>
            <w:rStyle w:val="Hyperlink"/>
          </w:rPr>
          <w:t>Actions safeguarding equality, inclusion and non-discrimination – point (d)(iv) of Article 22(3) CPR and Article 6 ESF+ Regulation</w:t>
        </w:r>
        <w:r w:rsidR="00000000">
          <w:tab/>
        </w:r>
        <w:r w:rsidR="00000000">
          <w:fldChar w:fldCharType="begin"/>
        </w:r>
        <w:r w:rsidR="00000000">
          <w:instrText xml:space="preserve"> PAGEREF _Toc256000183 \h </w:instrText>
        </w:r>
        <w:r w:rsidR="00000000">
          <w:fldChar w:fldCharType="separate"/>
        </w:r>
        <w:r w:rsidR="00000000">
          <w:t>35</w:t>
        </w:r>
        <w:r w:rsidR="00000000">
          <w:fldChar w:fldCharType="end"/>
        </w:r>
      </w:hyperlink>
    </w:p>
    <w:p w14:paraId="78A68397" w14:textId="77777777" w:rsidR="00B82D50" w:rsidRDefault="00A77B3E">
      <w:pPr>
        <w:pStyle w:val="TOC5"/>
        <w:tabs>
          <w:tab w:val="right" w:leader="dot" w:pos="10240"/>
        </w:tabs>
        <w:rPr>
          <w:rFonts w:ascii="Calibri" w:hAnsi="Calibri"/>
          <w:sz w:val="22"/>
        </w:rPr>
      </w:pPr>
      <w:hyperlink w:anchor="_Toc256000184" w:history="1">
        <w:r>
          <w:rPr>
            <w:rStyle w:val="Hyperlink"/>
          </w:rPr>
          <w:t>Indication of the specific territories targeted, including the planned use of territorial tools – point (d)(v) of Article 22(3) CPR</w:t>
        </w:r>
        <w:r w:rsidR="00000000">
          <w:tab/>
        </w:r>
        <w:r w:rsidR="00000000">
          <w:fldChar w:fldCharType="begin"/>
        </w:r>
        <w:r w:rsidR="00000000">
          <w:instrText xml:space="preserve"> PAGEREF _Toc256000184 \h </w:instrText>
        </w:r>
        <w:r w:rsidR="00000000">
          <w:fldChar w:fldCharType="separate"/>
        </w:r>
        <w:r w:rsidR="00000000">
          <w:t>36</w:t>
        </w:r>
        <w:r w:rsidR="00000000">
          <w:fldChar w:fldCharType="end"/>
        </w:r>
      </w:hyperlink>
    </w:p>
    <w:p w14:paraId="27133716" w14:textId="77777777" w:rsidR="00B82D50" w:rsidRDefault="00A77B3E">
      <w:pPr>
        <w:pStyle w:val="TOC5"/>
        <w:tabs>
          <w:tab w:val="right" w:leader="dot" w:pos="10240"/>
        </w:tabs>
        <w:rPr>
          <w:rFonts w:ascii="Calibri" w:hAnsi="Calibri"/>
          <w:sz w:val="22"/>
        </w:rPr>
      </w:pPr>
      <w:hyperlink w:anchor="_Toc256000185" w:history="1">
        <w:r>
          <w:rPr>
            <w:rStyle w:val="Hyperlink"/>
          </w:rPr>
          <w:t>The interregional, cross-border and transnational actions – point (d)(vi) of Article 22(3) CPR</w:t>
        </w:r>
        <w:r w:rsidR="00000000">
          <w:tab/>
        </w:r>
        <w:r w:rsidR="00000000">
          <w:fldChar w:fldCharType="begin"/>
        </w:r>
        <w:r w:rsidR="00000000">
          <w:instrText xml:space="preserve"> PAGEREF _Toc256000185 \h </w:instrText>
        </w:r>
        <w:r w:rsidR="00000000">
          <w:fldChar w:fldCharType="separate"/>
        </w:r>
        <w:r w:rsidR="00000000">
          <w:t>36</w:t>
        </w:r>
        <w:r w:rsidR="00000000">
          <w:fldChar w:fldCharType="end"/>
        </w:r>
      </w:hyperlink>
    </w:p>
    <w:p w14:paraId="27350AF4" w14:textId="77777777" w:rsidR="00B82D50" w:rsidRDefault="00A77B3E">
      <w:pPr>
        <w:pStyle w:val="TOC5"/>
        <w:tabs>
          <w:tab w:val="right" w:leader="dot" w:pos="10240"/>
        </w:tabs>
        <w:rPr>
          <w:rFonts w:ascii="Calibri" w:hAnsi="Calibri"/>
          <w:sz w:val="22"/>
        </w:rPr>
      </w:pPr>
      <w:hyperlink w:anchor="_Toc256000186" w:history="1">
        <w:r>
          <w:rPr>
            <w:rStyle w:val="Hyperlink"/>
          </w:rPr>
          <w:t>The planned use of financial instruments – point (d)(vii) of Article 22(3) CPR</w:t>
        </w:r>
        <w:r w:rsidR="00000000">
          <w:tab/>
        </w:r>
        <w:r w:rsidR="00000000">
          <w:fldChar w:fldCharType="begin"/>
        </w:r>
        <w:r w:rsidR="00000000">
          <w:instrText xml:space="preserve"> PAGEREF _Toc256000186 \h </w:instrText>
        </w:r>
        <w:r w:rsidR="00000000">
          <w:fldChar w:fldCharType="separate"/>
        </w:r>
        <w:r w:rsidR="00000000">
          <w:t>36</w:t>
        </w:r>
        <w:r w:rsidR="00000000">
          <w:fldChar w:fldCharType="end"/>
        </w:r>
      </w:hyperlink>
    </w:p>
    <w:p w14:paraId="38F202D1" w14:textId="77777777" w:rsidR="00B82D50" w:rsidRDefault="00A77B3E">
      <w:pPr>
        <w:pStyle w:val="TOC4"/>
        <w:tabs>
          <w:tab w:val="right" w:leader="dot" w:pos="10240"/>
        </w:tabs>
        <w:rPr>
          <w:rFonts w:ascii="Calibri" w:hAnsi="Calibri"/>
          <w:sz w:val="22"/>
        </w:rPr>
      </w:pPr>
      <w:hyperlink w:anchor="_Toc256000187" w:history="1">
        <w:r>
          <w:rPr>
            <w:rStyle w:val="Hyperlink"/>
          </w:rPr>
          <w:t>2.1.1.1.2. Indicators</w:t>
        </w:r>
        <w:r w:rsidR="00000000">
          <w:tab/>
        </w:r>
        <w:r w:rsidR="00000000">
          <w:fldChar w:fldCharType="begin"/>
        </w:r>
        <w:r w:rsidR="00000000">
          <w:instrText xml:space="preserve"> PAGEREF _Toc256000187 \h </w:instrText>
        </w:r>
        <w:r w:rsidR="00000000">
          <w:fldChar w:fldCharType="separate"/>
        </w:r>
        <w:r w:rsidR="00000000">
          <w:t>36</w:t>
        </w:r>
        <w:r w:rsidR="00000000">
          <w:fldChar w:fldCharType="end"/>
        </w:r>
      </w:hyperlink>
    </w:p>
    <w:p w14:paraId="3762CD0A" w14:textId="77777777" w:rsidR="00B82D50" w:rsidRDefault="00A77B3E">
      <w:pPr>
        <w:pStyle w:val="TOC5"/>
        <w:tabs>
          <w:tab w:val="right" w:leader="dot" w:pos="10240"/>
        </w:tabs>
        <w:rPr>
          <w:rFonts w:ascii="Calibri" w:hAnsi="Calibri"/>
          <w:sz w:val="22"/>
        </w:rPr>
      </w:pPr>
      <w:hyperlink w:anchor="_Toc256000188" w:history="1">
        <w:r>
          <w:rPr>
            <w:rStyle w:val="Hyperlink"/>
          </w:rPr>
          <w:t>Table 2: Output indicators</w:t>
        </w:r>
        <w:r w:rsidR="00000000">
          <w:tab/>
        </w:r>
        <w:r w:rsidR="00000000">
          <w:fldChar w:fldCharType="begin"/>
        </w:r>
        <w:r w:rsidR="00000000">
          <w:instrText xml:space="preserve"> PAGEREF _Toc256000188 \h </w:instrText>
        </w:r>
        <w:r w:rsidR="00000000">
          <w:fldChar w:fldCharType="separate"/>
        </w:r>
        <w:r w:rsidR="00000000">
          <w:t>36</w:t>
        </w:r>
        <w:r w:rsidR="00000000">
          <w:fldChar w:fldCharType="end"/>
        </w:r>
      </w:hyperlink>
    </w:p>
    <w:p w14:paraId="6460CC8D" w14:textId="77777777" w:rsidR="00B82D50" w:rsidRDefault="00A77B3E">
      <w:pPr>
        <w:pStyle w:val="TOC5"/>
        <w:tabs>
          <w:tab w:val="right" w:leader="dot" w:pos="10240"/>
        </w:tabs>
        <w:rPr>
          <w:rFonts w:ascii="Calibri" w:hAnsi="Calibri"/>
          <w:sz w:val="22"/>
        </w:rPr>
      </w:pPr>
      <w:hyperlink w:anchor="_Toc256000189" w:history="1">
        <w:r>
          <w:rPr>
            <w:rStyle w:val="Hyperlink"/>
          </w:rPr>
          <w:t>Table 3: Result indicators</w:t>
        </w:r>
        <w:r w:rsidR="00000000">
          <w:tab/>
        </w:r>
        <w:r w:rsidR="00000000">
          <w:fldChar w:fldCharType="begin"/>
        </w:r>
        <w:r w:rsidR="00000000">
          <w:instrText xml:space="preserve"> PAGEREF _Toc256000189 \h </w:instrText>
        </w:r>
        <w:r w:rsidR="00000000">
          <w:fldChar w:fldCharType="separate"/>
        </w:r>
        <w:r w:rsidR="00000000">
          <w:t>37</w:t>
        </w:r>
        <w:r w:rsidR="00000000">
          <w:fldChar w:fldCharType="end"/>
        </w:r>
      </w:hyperlink>
    </w:p>
    <w:p w14:paraId="709427D8" w14:textId="77777777" w:rsidR="00B82D50" w:rsidRDefault="00A77B3E">
      <w:pPr>
        <w:pStyle w:val="TOC4"/>
        <w:tabs>
          <w:tab w:val="right" w:leader="dot" w:pos="10240"/>
        </w:tabs>
        <w:rPr>
          <w:rFonts w:ascii="Calibri" w:hAnsi="Calibri"/>
          <w:sz w:val="22"/>
        </w:rPr>
      </w:pPr>
      <w:hyperlink w:anchor="_Toc256000190" w:history="1">
        <w:r>
          <w:rPr>
            <w:rStyle w:val="Hyperlink"/>
          </w:rPr>
          <w:t>2.1.1.1.3. Indicative breakdown of the programmed resources (EU) by type of intervention</w:t>
        </w:r>
        <w:r w:rsidR="00000000">
          <w:tab/>
        </w:r>
        <w:r w:rsidR="00000000">
          <w:fldChar w:fldCharType="begin"/>
        </w:r>
        <w:r w:rsidR="00000000">
          <w:instrText xml:space="preserve"> PAGEREF _Toc256000190 \h </w:instrText>
        </w:r>
        <w:r w:rsidR="00000000">
          <w:fldChar w:fldCharType="separate"/>
        </w:r>
        <w:r w:rsidR="00000000">
          <w:t>37</w:t>
        </w:r>
        <w:r w:rsidR="00000000">
          <w:fldChar w:fldCharType="end"/>
        </w:r>
      </w:hyperlink>
    </w:p>
    <w:p w14:paraId="7EC97583" w14:textId="77777777" w:rsidR="00B82D50" w:rsidRDefault="00A77B3E">
      <w:pPr>
        <w:pStyle w:val="TOC5"/>
        <w:tabs>
          <w:tab w:val="right" w:leader="dot" w:pos="10240"/>
        </w:tabs>
        <w:rPr>
          <w:rFonts w:ascii="Calibri" w:hAnsi="Calibri"/>
          <w:sz w:val="22"/>
        </w:rPr>
      </w:pPr>
      <w:hyperlink w:anchor="_Toc256000191" w:history="1">
        <w:r>
          <w:rPr>
            <w:rStyle w:val="Hyperlink"/>
          </w:rPr>
          <w:t>Table 4: Dimension 1 - intervention field</w:t>
        </w:r>
        <w:r w:rsidR="00000000">
          <w:tab/>
        </w:r>
        <w:r w:rsidR="00000000">
          <w:fldChar w:fldCharType="begin"/>
        </w:r>
        <w:r w:rsidR="00000000">
          <w:instrText xml:space="preserve"> PAGEREF _Toc256000191 \h </w:instrText>
        </w:r>
        <w:r w:rsidR="00000000">
          <w:fldChar w:fldCharType="separate"/>
        </w:r>
        <w:r w:rsidR="00000000">
          <w:t>37</w:t>
        </w:r>
        <w:r w:rsidR="00000000">
          <w:fldChar w:fldCharType="end"/>
        </w:r>
      </w:hyperlink>
    </w:p>
    <w:p w14:paraId="11AE2019" w14:textId="77777777" w:rsidR="00B82D50" w:rsidRDefault="00A77B3E">
      <w:pPr>
        <w:pStyle w:val="TOC5"/>
        <w:tabs>
          <w:tab w:val="right" w:leader="dot" w:pos="10240"/>
        </w:tabs>
        <w:rPr>
          <w:rFonts w:ascii="Calibri" w:hAnsi="Calibri"/>
          <w:sz w:val="22"/>
        </w:rPr>
      </w:pPr>
      <w:hyperlink w:anchor="_Toc256000192" w:history="1">
        <w:r>
          <w:rPr>
            <w:rStyle w:val="Hyperlink"/>
          </w:rPr>
          <w:t>Table 5: Dimension 2 - form of financing</w:t>
        </w:r>
        <w:r w:rsidR="00000000">
          <w:tab/>
        </w:r>
        <w:r w:rsidR="00000000">
          <w:fldChar w:fldCharType="begin"/>
        </w:r>
        <w:r w:rsidR="00000000">
          <w:instrText xml:space="preserve"> PAGEREF _Toc256000192 \h </w:instrText>
        </w:r>
        <w:r w:rsidR="00000000">
          <w:fldChar w:fldCharType="separate"/>
        </w:r>
        <w:r w:rsidR="00000000">
          <w:t>37</w:t>
        </w:r>
        <w:r w:rsidR="00000000">
          <w:fldChar w:fldCharType="end"/>
        </w:r>
      </w:hyperlink>
    </w:p>
    <w:p w14:paraId="60121C26" w14:textId="77777777" w:rsidR="00B82D50" w:rsidRDefault="00A77B3E">
      <w:pPr>
        <w:pStyle w:val="TOC5"/>
        <w:tabs>
          <w:tab w:val="right" w:leader="dot" w:pos="10240"/>
        </w:tabs>
        <w:rPr>
          <w:rFonts w:ascii="Calibri" w:hAnsi="Calibri"/>
          <w:sz w:val="22"/>
        </w:rPr>
      </w:pPr>
      <w:hyperlink w:anchor="_Toc256000193" w:history="1">
        <w:r>
          <w:rPr>
            <w:rStyle w:val="Hyperlink"/>
          </w:rPr>
          <w:t>Table 6: Dimension 3 – territorial delivery mechanism and territorial focus</w:t>
        </w:r>
        <w:r w:rsidR="00000000">
          <w:tab/>
        </w:r>
        <w:r w:rsidR="00000000">
          <w:fldChar w:fldCharType="begin"/>
        </w:r>
        <w:r w:rsidR="00000000">
          <w:instrText xml:space="preserve"> PAGEREF _Toc256000193 \h </w:instrText>
        </w:r>
        <w:r w:rsidR="00000000">
          <w:fldChar w:fldCharType="separate"/>
        </w:r>
        <w:r w:rsidR="00000000">
          <w:t>38</w:t>
        </w:r>
        <w:r w:rsidR="00000000">
          <w:fldChar w:fldCharType="end"/>
        </w:r>
      </w:hyperlink>
    </w:p>
    <w:p w14:paraId="31CEB912" w14:textId="77777777" w:rsidR="00B82D50" w:rsidRDefault="00A77B3E">
      <w:pPr>
        <w:pStyle w:val="TOC5"/>
        <w:tabs>
          <w:tab w:val="right" w:leader="dot" w:pos="10240"/>
        </w:tabs>
        <w:rPr>
          <w:rFonts w:ascii="Calibri" w:hAnsi="Calibri"/>
          <w:sz w:val="22"/>
        </w:rPr>
      </w:pPr>
      <w:hyperlink w:anchor="_Toc256000194" w:history="1">
        <w:r>
          <w:rPr>
            <w:rStyle w:val="Hyperlink"/>
          </w:rPr>
          <w:t>Table 7: Dimension 6 – ESF+ secondary themes</w:t>
        </w:r>
        <w:r w:rsidR="00000000">
          <w:tab/>
        </w:r>
        <w:r w:rsidR="00000000">
          <w:fldChar w:fldCharType="begin"/>
        </w:r>
        <w:r w:rsidR="00000000">
          <w:instrText xml:space="preserve"> PAGEREF _Toc256000194 \h </w:instrText>
        </w:r>
        <w:r w:rsidR="00000000">
          <w:fldChar w:fldCharType="separate"/>
        </w:r>
        <w:r w:rsidR="00000000">
          <w:t>38</w:t>
        </w:r>
        <w:r w:rsidR="00000000">
          <w:fldChar w:fldCharType="end"/>
        </w:r>
      </w:hyperlink>
    </w:p>
    <w:p w14:paraId="629EA427" w14:textId="77777777" w:rsidR="00B82D50" w:rsidRDefault="00A77B3E">
      <w:pPr>
        <w:pStyle w:val="TOC5"/>
        <w:tabs>
          <w:tab w:val="right" w:leader="dot" w:pos="10240"/>
        </w:tabs>
        <w:rPr>
          <w:rFonts w:ascii="Calibri" w:hAnsi="Calibri"/>
          <w:sz w:val="22"/>
        </w:rPr>
      </w:pPr>
      <w:hyperlink w:anchor="_Toc256000195" w:history="1">
        <w:r>
          <w:rPr>
            <w:rStyle w:val="Hyperlink"/>
          </w:rPr>
          <w:t>Table 8: Dimension 7 – ESF+*, ERDF, Cohesion Fund and JTF gender equality dimension</w:t>
        </w:r>
        <w:r w:rsidR="00000000">
          <w:tab/>
        </w:r>
        <w:r w:rsidR="00000000">
          <w:fldChar w:fldCharType="begin"/>
        </w:r>
        <w:r w:rsidR="00000000">
          <w:instrText xml:space="preserve"> PAGEREF _Toc256000195 \h </w:instrText>
        </w:r>
        <w:r w:rsidR="00000000">
          <w:fldChar w:fldCharType="separate"/>
        </w:r>
        <w:r w:rsidR="00000000">
          <w:t>38</w:t>
        </w:r>
        <w:r w:rsidR="00000000">
          <w:fldChar w:fldCharType="end"/>
        </w:r>
      </w:hyperlink>
    </w:p>
    <w:p w14:paraId="7B0C6A58" w14:textId="77777777" w:rsidR="00B82D50" w:rsidRDefault="00A77B3E">
      <w:pPr>
        <w:pStyle w:val="TOC3"/>
        <w:tabs>
          <w:tab w:val="right" w:leader="dot" w:pos="10240"/>
        </w:tabs>
        <w:rPr>
          <w:rFonts w:ascii="Calibri" w:hAnsi="Calibri"/>
          <w:sz w:val="22"/>
        </w:rPr>
      </w:pPr>
      <w:hyperlink w:anchor="_Toc256000196" w:history="1">
        <w:r>
          <w:rPr>
            <w:rStyle w:val="Hyperlink"/>
          </w:rPr>
          <w:t>2.1.1. Priority: SEM2. Low-Carbon Energy Efficient Regions</w:t>
        </w:r>
        <w:r w:rsidR="00000000">
          <w:tab/>
        </w:r>
        <w:r w:rsidR="00000000">
          <w:fldChar w:fldCharType="begin"/>
        </w:r>
        <w:r w:rsidR="00000000">
          <w:instrText xml:space="preserve"> PAGEREF _Toc256000196 \h </w:instrText>
        </w:r>
        <w:r w:rsidR="00000000">
          <w:fldChar w:fldCharType="separate"/>
        </w:r>
        <w:r w:rsidR="00000000">
          <w:t>39</w:t>
        </w:r>
        <w:r w:rsidR="00000000">
          <w:fldChar w:fldCharType="end"/>
        </w:r>
      </w:hyperlink>
    </w:p>
    <w:p w14:paraId="2658ADAD" w14:textId="77777777" w:rsidR="00B82D50" w:rsidRDefault="00A77B3E">
      <w:pPr>
        <w:pStyle w:val="TOC4"/>
        <w:tabs>
          <w:tab w:val="right" w:leader="dot" w:pos="10240"/>
        </w:tabs>
        <w:rPr>
          <w:rFonts w:ascii="Calibri" w:hAnsi="Calibri"/>
          <w:sz w:val="22"/>
        </w:rPr>
      </w:pPr>
      <w:hyperlink w:anchor="_Toc256000197" w:history="1">
        <w:r>
          <w:rPr>
            <w:rStyle w:val="Hyperlink"/>
          </w:rPr>
          <w:t>2.1.1.1. Specific objective: RSO2.1. Promoting energy efficiency and reducing greenhouse gas emissions (ERDF)</w:t>
        </w:r>
        <w:r w:rsidR="00000000">
          <w:tab/>
        </w:r>
        <w:r w:rsidR="00000000">
          <w:fldChar w:fldCharType="begin"/>
        </w:r>
        <w:r w:rsidR="00000000">
          <w:instrText xml:space="preserve"> PAGEREF _Toc256000197 \h </w:instrText>
        </w:r>
        <w:r w:rsidR="00000000">
          <w:fldChar w:fldCharType="separate"/>
        </w:r>
        <w:r w:rsidR="00000000">
          <w:t>39</w:t>
        </w:r>
        <w:r w:rsidR="00000000">
          <w:fldChar w:fldCharType="end"/>
        </w:r>
      </w:hyperlink>
    </w:p>
    <w:p w14:paraId="330B9B7E" w14:textId="77777777" w:rsidR="00B82D50" w:rsidRDefault="00A77B3E">
      <w:pPr>
        <w:pStyle w:val="TOC4"/>
        <w:tabs>
          <w:tab w:val="right" w:leader="dot" w:pos="10240"/>
        </w:tabs>
        <w:rPr>
          <w:rFonts w:ascii="Calibri" w:hAnsi="Calibri"/>
          <w:sz w:val="22"/>
        </w:rPr>
      </w:pPr>
      <w:hyperlink w:anchor="_Toc256000198" w:history="1">
        <w:r>
          <w:rPr>
            <w:rStyle w:val="Hyperlink"/>
          </w:rPr>
          <w:t>2.1.1.1.1. Interventions of the Funds</w:t>
        </w:r>
        <w:r w:rsidR="00000000">
          <w:tab/>
        </w:r>
        <w:r w:rsidR="00000000">
          <w:fldChar w:fldCharType="begin"/>
        </w:r>
        <w:r w:rsidR="00000000">
          <w:instrText xml:space="preserve"> PAGEREF _Toc256000198 \h </w:instrText>
        </w:r>
        <w:r w:rsidR="00000000">
          <w:fldChar w:fldCharType="separate"/>
        </w:r>
        <w:r w:rsidR="00000000">
          <w:t>39</w:t>
        </w:r>
        <w:r w:rsidR="00000000">
          <w:fldChar w:fldCharType="end"/>
        </w:r>
      </w:hyperlink>
    </w:p>
    <w:p w14:paraId="5F58FBDA" w14:textId="77777777" w:rsidR="00B82D50" w:rsidRDefault="00A77B3E">
      <w:pPr>
        <w:pStyle w:val="TOC5"/>
        <w:tabs>
          <w:tab w:val="right" w:leader="dot" w:pos="10240"/>
        </w:tabs>
        <w:rPr>
          <w:rFonts w:ascii="Calibri" w:hAnsi="Calibri"/>
          <w:sz w:val="22"/>
        </w:rPr>
      </w:pPr>
      <w:hyperlink w:anchor="_Toc256000199" w:history="1">
        <w:r>
          <w:rPr>
            <w:rStyle w:val="Hyperlink"/>
          </w:rPr>
          <w:t>The related types of actions – point (d)(i) of Article 22(3) CPR and Article 6 ESF+ Regulation:</w:t>
        </w:r>
        <w:r w:rsidR="00000000">
          <w:tab/>
        </w:r>
        <w:r w:rsidR="00000000">
          <w:fldChar w:fldCharType="begin"/>
        </w:r>
        <w:r w:rsidR="00000000">
          <w:instrText xml:space="preserve"> PAGEREF _Toc256000199 \h </w:instrText>
        </w:r>
        <w:r w:rsidR="00000000">
          <w:fldChar w:fldCharType="separate"/>
        </w:r>
        <w:r w:rsidR="00000000">
          <w:t>39</w:t>
        </w:r>
        <w:r w:rsidR="00000000">
          <w:fldChar w:fldCharType="end"/>
        </w:r>
      </w:hyperlink>
    </w:p>
    <w:p w14:paraId="73C2B42E" w14:textId="77777777" w:rsidR="00B82D50" w:rsidRDefault="00A77B3E">
      <w:pPr>
        <w:pStyle w:val="TOC5"/>
        <w:tabs>
          <w:tab w:val="right" w:leader="dot" w:pos="10240"/>
        </w:tabs>
        <w:rPr>
          <w:rFonts w:ascii="Calibri" w:hAnsi="Calibri"/>
          <w:sz w:val="22"/>
        </w:rPr>
      </w:pPr>
      <w:hyperlink w:anchor="_Toc256000200" w:history="1">
        <w:r>
          <w:rPr>
            <w:rStyle w:val="Hyperlink"/>
          </w:rPr>
          <w:t>The main target groups - point (d)(iii) of Article 22(3) CPR:</w:t>
        </w:r>
        <w:r w:rsidR="00000000">
          <w:tab/>
        </w:r>
        <w:r w:rsidR="00000000">
          <w:fldChar w:fldCharType="begin"/>
        </w:r>
        <w:r w:rsidR="00000000">
          <w:instrText xml:space="preserve"> PAGEREF _Toc256000200 \h </w:instrText>
        </w:r>
        <w:r w:rsidR="00000000">
          <w:fldChar w:fldCharType="separate"/>
        </w:r>
        <w:r w:rsidR="00000000">
          <w:t>40</w:t>
        </w:r>
        <w:r w:rsidR="00000000">
          <w:fldChar w:fldCharType="end"/>
        </w:r>
      </w:hyperlink>
    </w:p>
    <w:p w14:paraId="0F874EB0" w14:textId="77777777" w:rsidR="00B82D50" w:rsidRDefault="00A77B3E">
      <w:pPr>
        <w:pStyle w:val="TOC5"/>
        <w:tabs>
          <w:tab w:val="right" w:leader="dot" w:pos="10240"/>
        </w:tabs>
        <w:rPr>
          <w:rFonts w:ascii="Calibri" w:hAnsi="Calibri"/>
          <w:sz w:val="22"/>
        </w:rPr>
      </w:pPr>
      <w:hyperlink w:anchor="_Toc256000201" w:history="1">
        <w:r>
          <w:rPr>
            <w:rStyle w:val="Hyperlink"/>
          </w:rPr>
          <w:t>Actions safeguarding equality, inclusion and non-discrimination – point (d)(iv) of Article 22(3) CPR and Article 6 ESF+ Regulation</w:t>
        </w:r>
        <w:r w:rsidR="00000000">
          <w:tab/>
        </w:r>
        <w:r w:rsidR="00000000">
          <w:fldChar w:fldCharType="begin"/>
        </w:r>
        <w:r w:rsidR="00000000">
          <w:instrText xml:space="preserve"> PAGEREF _Toc256000201 \h </w:instrText>
        </w:r>
        <w:r w:rsidR="00000000">
          <w:fldChar w:fldCharType="separate"/>
        </w:r>
        <w:r w:rsidR="00000000">
          <w:t>41</w:t>
        </w:r>
        <w:r w:rsidR="00000000">
          <w:fldChar w:fldCharType="end"/>
        </w:r>
      </w:hyperlink>
    </w:p>
    <w:p w14:paraId="54E260B8" w14:textId="77777777" w:rsidR="00B82D50" w:rsidRDefault="00A77B3E">
      <w:pPr>
        <w:pStyle w:val="TOC5"/>
        <w:tabs>
          <w:tab w:val="right" w:leader="dot" w:pos="10240"/>
        </w:tabs>
        <w:rPr>
          <w:rFonts w:ascii="Calibri" w:hAnsi="Calibri"/>
          <w:sz w:val="22"/>
        </w:rPr>
      </w:pPr>
      <w:hyperlink w:anchor="_Toc256000202" w:history="1">
        <w:r>
          <w:rPr>
            <w:rStyle w:val="Hyperlink"/>
          </w:rPr>
          <w:t>Indication of the specific territories targeted, including the planned use of territorial tools – point (d)(v) of Article 22(3) CPR</w:t>
        </w:r>
        <w:r w:rsidR="00000000">
          <w:tab/>
        </w:r>
        <w:r w:rsidR="00000000">
          <w:fldChar w:fldCharType="begin"/>
        </w:r>
        <w:r w:rsidR="00000000">
          <w:instrText xml:space="preserve"> PAGEREF _Toc256000202 \h </w:instrText>
        </w:r>
        <w:r w:rsidR="00000000">
          <w:fldChar w:fldCharType="separate"/>
        </w:r>
        <w:r w:rsidR="00000000">
          <w:t>41</w:t>
        </w:r>
        <w:r w:rsidR="00000000">
          <w:fldChar w:fldCharType="end"/>
        </w:r>
      </w:hyperlink>
    </w:p>
    <w:p w14:paraId="0BA5682F" w14:textId="77777777" w:rsidR="00B82D50" w:rsidRDefault="00A77B3E">
      <w:pPr>
        <w:pStyle w:val="TOC5"/>
        <w:tabs>
          <w:tab w:val="right" w:leader="dot" w:pos="10240"/>
        </w:tabs>
        <w:rPr>
          <w:rFonts w:ascii="Calibri" w:hAnsi="Calibri"/>
          <w:sz w:val="22"/>
        </w:rPr>
      </w:pPr>
      <w:hyperlink w:anchor="_Toc256000203" w:history="1">
        <w:r>
          <w:rPr>
            <w:rStyle w:val="Hyperlink"/>
          </w:rPr>
          <w:t>The interregional, cross-border and transnational actions – point (d)(vi) of Article 22(3) CPR</w:t>
        </w:r>
        <w:r w:rsidR="00000000">
          <w:tab/>
        </w:r>
        <w:r w:rsidR="00000000">
          <w:fldChar w:fldCharType="begin"/>
        </w:r>
        <w:r w:rsidR="00000000">
          <w:instrText xml:space="preserve"> PAGEREF _Toc256000203 \h </w:instrText>
        </w:r>
        <w:r w:rsidR="00000000">
          <w:fldChar w:fldCharType="separate"/>
        </w:r>
        <w:r w:rsidR="00000000">
          <w:t>41</w:t>
        </w:r>
        <w:r w:rsidR="00000000">
          <w:fldChar w:fldCharType="end"/>
        </w:r>
      </w:hyperlink>
    </w:p>
    <w:p w14:paraId="639A97C8" w14:textId="77777777" w:rsidR="00B82D50" w:rsidRDefault="00A77B3E">
      <w:pPr>
        <w:pStyle w:val="TOC5"/>
        <w:tabs>
          <w:tab w:val="right" w:leader="dot" w:pos="10240"/>
        </w:tabs>
        <w:rPr>
          <w:rFonts w:ascii="Calibri" w:hAnsi="Calibri"/>
          <w:sz w:val="22"/>
        </w:rPr>
      </w:pPr>
      <w:hyperlink w:anchor="_Toc256000204" w:history="1">
        <w:r>
          <w:rPr>
            <w:rStyle w:val="Hyperlink"/>
          </w:rPr>
          <w:t>The planned use of financial instruments – point (d)(vii) of Article 22(3) CPR</w:t>
        </w:r>
        <w:r w:rsidR="00000000">
          <w:tab/>
        </w:r>
        <w:r w:rsidR="00000000">
          <w:fldChar w:fldCharType="begin"/>
        </w:r>
        <w:r w:rsidR="00000000">
          <w:instrText xml:space="preserve"> PAGEREF _Toc256000204 \h </w:instrText>
        </w:r>
        <w:r w:rsidR="00000000">
          <w:fldChar w:fldCharType="separate"/>
        </w:r>
        <w:r w:rsidR="00000000">
          <w:t>42</w:t>
        </w:r>
        <w:r w:rsidR="00000000">
          <w:fldChar w:fldCharType="end"/>
        </w:r>
      </w:hyperlink>
    </w:p>
    <w:p w14:paraId="3CBDC326" w14:textId="77777777" w:rsidR="00B82D50" w:rsidRDefault="00A77B3E">
      <w:pPr>
        <w:pStyle w:val="TOC4"/>
        <w:tabs>
          <w:tab w:val="right" w:leader="dot" w:pos="10240"/>
        </w:tabs>
        <w:rPr>
          <w:rFonts w:ascii="Calibri" w:hAnsi="Calibri"/>
          <w:sz w:val="22"/>
        </w:rPr>
      </w:pPr>
      <w:hyperlink w:anchor="_Toc256000205" w:history="1">
        <w:r>
          <w:rPr>
            <w:rStyle w:val="Hyperlink"/>
          </w:rPr>
          <w:t>2.1.1.1.2. Indicators</w:t>
        </w:r>
        <w:r w:rsidR="00000000">
          <w:tab/>
        </w:r>
        <w:r w:rsidR="00000000">
          <w:fldChar w:fldCharType="begin"/>
        </w:r>
        <w:r w:rsidR="00000000">
          <w:instrText xml:space="preserve"> PAGEREF _Toc256000205 \h </w:instrText>
        </w:r>
        <w:r w:rsidR="00000000">
          <w:fldChar w:fldCharType="separate"/>
        </w:r>
        <w:r w:rsidR="00000000">
          <w:t>42</w:t>
        </w:r>
        <w:r w:rsidR="00000000">
          <w:fldChar w:fldCharType="end"/>
        </w:r>
      </w:hyperlink>
    </w:p>
    <w:p w14:paraId="56F46D6F" w14:textId="77777777" w:rsidR="00B82D50" w:rsidRDefault="00A77B3E">
      <w:pPr>
        <w:pStyle w:val="TOC5"/>
        <w:tabs>
          <w:tab w:val="right" w:leader="dot" w:pos="10240"/>
        </w:tabs>
        <w:rPr>
          <w:rFonts w:ascii="Calibri" w:hAnsi="Calibri"/>
          <w:sz w:val="22"/>
        </w:rPr>
      </w:pPr>
      <w:hyperlink w:anchor="_Toc256000206" w:history="1">
        <w:r>
          <w:rPr>
            <w:rStyle w:val="Hyperlink"/>
          </w:rPr>
          <w:t>Table 2: Output indicators</w:t>
        </w:r>
        <w:r w:rsidR="00000000">
          <w:tab/>
        </w:r>
        <w:r w:rsidR="00000000">
          <w:fldChar w:fldCharType="begin"/>
        </w:r>
        <w:r w:rsidR="00000000">
          <w:instrText xml:space="preserve"> PAGEREF _Toc256000206 \h </w:instrText>
        </w:r>
        <w:r w:rsidR="00000000">
          <w:fldChar w:fldCharType="separate"/>
        </w:r>
        <w:r w:rsidR="00000000">
          <w:t>42</w:t>
        </w:r>
        <w:r w:rsidR="00000000">
          <w:fldChar w:fldCharType="end"/>
        </w:r>
      </w:hyperlink>
    </w:p>
    <w:p w14:paraId="7A1712FD" w14:textId="77777777" w:rsidR="00B82D50" w:rsidRDefault="00A77B3E">
      <w:pPr>
        <w:pStyle w:val="TOC5"/>
        <w:tabs>
          <w:tab w:val="right" w:leader="dot" w:pos="10240"/>
        </w:tabs>
        <w:rPr>
          <w:rFonts w:ascii="Calibri" w:hAnsi="Calibri"/>
          <w:sz w:val="22"/>
        </w:rPr>
      </w:pPr>
      <w:hyperlink w:anchor="_Toc256000207" w:history="1">
        <w:r>
          <w:rPr>
            <w:rStyle w:val="Hyperlink"/>
          </w:rPr>
          <w:t>Table 3: Result indicators</w:t>
        </w:r>
        <w:r w:rsidR="00000000">
          <w:tab/>
        </w:r>
        <w:r w:rsidR="00000000">
          <w:fldChar w:fldCharType="begin"/>
        </w:r>
        <w:r w:rsidR="00000000">
          <w:instrText xml:space="preserve"> PAGEREF _Toc256000207 \h </w:instrText>
        </w:r>
        <w:r w:rsidR="00000000">
          <w:fldChar w:fldCharType="separate"/>
        </w:r>
        <w:r w:rsidR="00000000">
          <w:t>42</w:t>
        </w:r>
        <w:r w:rsidR="00000000">
          <w:fldChar w:fldCharType="end"/>
        </w:r>
      </w:hyperlink>
    </w:p>
    <w:p w14:paraId="624061AE" w14:textId="77777777" w:rsidR="00B82D50" w:rsidRDefault="00A77B3E">
      <w:pPr>
        <w:pStyle w:val="TOC4"/>
        <w:tabs>
          <w:tab w:val="right" w:leader="dot" w:pos="10240"/>
        </w:tabs>
        <w:rPr>
          <w:rFonts w:ascii="Calibri" w:hAnsi="Calibri"/>
          <w:sz w:val="22"/>
        </w:rPr>
      </w:pPr>
      <w:hyperlink w:anchor="_Toc256000208" w:history="1">
        <w:r>
          <w:rPr>
            <w:rStyle w:val="Hyperlink"/>
          </w:rPr>
          <w:t>2.1.1.1.3. Indicative breakdown of the programmed resources (EU) by type of intervention</w:t>
        </w:r>
        <w:r w:rsidR="00000000">
          <w:tab/>
        </w:r>
        <w:r w:rsidR="00000000">
          <w:fldChar w:fldCharType="begin"/>
        </w:r>
        <w:r w:rsidR="00000000">
          <w:instrText xml:space="preserve"> PAGEREF _Toc256000208 \h </w:instrText>
        </w:r>
        <w:r w:rsidR="00000000">
          <w:fldChar w:fldCharType="separate"/>
        </w:r>
        <w:r w:rsidR="00000000">
          <w:t>42</w:t>
        </w:r>
        <w:r w:rsidR="00000000">
          <w:fldChar w:fldCharType="end"/>
        </w:r>
      </w:hyperlink>
    </w:p>
    <w:p w14:paraId="5AF02E18" w14:textId="77777777" w:rsidR="00B82D50" w:rsidRDefault="00A77B3E">
      <w:pPr>
        <w:pStyle w:val="TOC5"/>
        <w:tabs>
          <w:tab w:val="right" w:leader="dot" w:pos="10240"/>
        </w:tabs>
        <w:rPr>
          <w:rFonts w:ascii="Calibri" w:hAnsi="Calibri"/>
          <w:sz w:val="22"/>
        </w:rPr>
      </w:pPr>
      <w:hyperlink w:anchor="_Toc256000209" w:history="1">
        <w:r>
          <w:rPr>
            <w:rStyle w:val="Hyperlink"/>
          </w:rPr>
          <w:t>Table 4: Dimension 1 - intervention field</w:t>
        </w:r>
        <w:r w:rsidR="00000000">
          <w:tab/>
        </w:r>
        <w:r w:rsidR="00000000">
          <w:fldChar w:fldCharType="begin"/>
        </w:r>
        <w:r w:rsidR="00000000">
          <w:instrText xml:space="preserve"> PAGEREF _Toc256000209 \h </w:instrText>
        </w:r>
        <w:r w:rsidR="00000000">
          <w:fldChar w:fldCharType="separate"/>
        </w:r>
        <w:r w:rsidR="00000000">
          <w:t>42</w:t>
        </w:r>
        <w:r w:rsidR="00000000">
          <w:fldChar w:fldCharType="end"/>
        </w:r>
      </w:hyperlink>
    </w:p>
    <w:p w14:paraId="4B253F69" w14:textId="77777777" w:rsidR="00B82D50" w:rsidRDefault="00A77B3E">
      <w:pPr>
        <w:pStyle w:val="TOC5"/>
        <w:tabs>
          <w:tab w:val="right" w:leader="dot" w:pos="10240"/>
        </w:tabs>
        <w:rPr>
          <w:rFonts w:ascii="Calibri" w:hAnsi="Calibri"/>
          <w:sz w:val="22"/>
        </w:rPr>
      </w:pPr>
      <w:hyperlink w:anchor="_Toc256000210" w:history="1">
        <w:r>
          <w:rPr>
            <w:rStyle w:val="Hyperlink"/>
          </w:rPr>
          <w:t>Table 5: Dimension 2 - form of financing</w:t>
        </w:r>
        <w:r w:rsidR="00000000">
          <w:tab/>
        </w:r>
        <w:r w:rsidR="00000000">
          <w:fldChar w:fldCharType="begin"/>
        </w:r>
        <w:r w:rsidR="00000000">
          <w:instrText xml:space="preserve"> PAGEREF _Toc256000210 \h </w:instrText>
        </w:r>
        <w:r w:rsidR="00000000">
          <w:fldChar w:fldCharType="separate"/>
        </w:r>
        <w:r w:rsidR="00000000">
          <w:t>43</w:t>
        </w:r>
        <w:r w:rsidR="00000000">
          <w:fldChar w:fldCharType="end"/>
        </w:r>
      </w:hyperlink>
    </w:p>
    <w:p w14:paraId="6EFE802D" w14:textId="77777777" w:rsidR="00B82D50" w:rsidRDefault="00A77B3E">
      <w:pPr>
        <w:pStyle w:val="TOC5"/>
        <w:tabs>
          <w:tab w:val="right" w:leader="dot" w:pos="10240"/>
        </w:tabs>
        <w:rPr>
          <w:rFonts w:ascii="Calibri" w:hAnsi="Calibri"/>
          <w:sz w:val="22"/>
        </w:rPr>
      </w:pPr>
      <w:hyperlink w:anchor="_Toc256000211" w:history="1">
        <w:r>
          <w:rPr>
            <w:rStyle w:val="Hyperlink"/>
          </w:rPr>
          <w:t>Table 6: Dimension 3 – territorial delivery mechanism and territorial focus</w:t>
        </w:r>
        <w:r w:rsidR="00000000">
          <w:tab/>
        </w:r>
        <w:r w:rsidR="00000000">
          <w:fldChar w:fldCharType="begin"/>
        </w:r>
        <w:r w:rsidR="00000000">
          <w:instrText xml:space="preserve"> PAGEREF _Toc256000211 \h </w:instrText>
        </w:r>
        <w:r w:rsidR="00000000">
          <w:fldChar w:fldCharType="separate"/>
        </w:r>
        <w:r w:rsidR="00000000">
          <w:t>43</w:t>
        </w:r>
        <w:r w:rsidR="00000000">
          <w:fldChar w:fldCharType="end"/>
        </w:r>
      </w:hyperlink>
    </w:p>
    <w:p w14:paraId="348820CE" w14:textId="77777777" w:rsidR="00B82D50" w:rsidRDefault="00A77B3E">
      <w:pPr>
        <w:pStyle w:val="TOC5"/>
        <w:tabs>
          <w:tab w:val="right" w:leader="dot" w:pos="10240"/>
        </w:tabs>
        <w:rPr>
          <w:rFonts w:ascii="Calibri" w:hAnsi="Calibri"/>
          <w:sz w:val="22"/>
        </w:rPr>
      </w:pPr>
      <w:hyperlink w:anchor="_Toc256000212" w:history="1">
        <w:r>
          <w:rPr>
            <w:rStyle w:val="Hyperlink"/>
          </w:rPr>
          <w:t>Table 7: Dimension 6 – ESF+ secondary themes</w:t>
        </w:r>
        <w:r w:rsidR="00000000">
          <w:tab/>
        </w:r>
        <w:r w:rsidR="00000000">
          <w:fldChar w:fldCharType="begin"/>
        </w:r>
        <w:r w:rsidR="00000000">
          <w:instrText xml:space="preserve"> PAGEREF _Toc256000212 \h </w:instrText>
        </w:r>
        <w:r w:rsidR="00000000">
          <w:fldChar w:fldCharType="separate"/>
        </w:r>
        <w:r w:rsidR="00000000">
          <w:t>43</w:t>
        </w:r>
        <w:r w:rsidR="00000000">
          <w:fldChar w:fldCharType="end"/>
        </w:r>
      </w:hyperlink>
    </w:p>
    <w:p w14:paraId="655F4C63" w14:textId="77777777" w:rsidR="00B82D50" w:rsidRDefault="00A77B3E">
      <w:pPr>
        <w:pStyle w:val="TOC5"/>
        <w:tabs>
          <w:tab w:val="right" w:leader="dot" w:pos="10240"/>
        </w:tabs>
        <w:rPr>
          <w:rFonts w:ascii="Calibri" w:hAnsi="Calibri"/>
          <w:sz w:val="22"/>
        </w:rPr>
      </w:pPr>
      <w:hyperlink w:anchor="_Toc256000213" w:history="1">
        <w:r>
          <w:rPr>
            <w:rStyle w:val="Hyperlink"/>
          </w:rPr>
          <w:t>Table 8: Dimension 7 – ESF+*, ERDF, Cohesion Fund and JTF gender equality dimension</w:t>
        </w:r>
        <w:r w:rsidR="00000000">
          <w:tab/>
        </w:r>
        <w:r w:rsidR="00000000">
          <w:fldChar w:fldCharType="begin"/>
        </w:r>
        <w:r w:rsidR="00000000">
          <w:instrText xml:space="preserve"> PAGEREF _Toc256000213 \h </w:instrText>
        </w:r>
        <w:r w:rsidR="00000000">
          <w:fldChar w:fldCharType="separate"/>
        </w:r>
        <w:r w:rsidR="00000000">
          <w:t>43</w:t>
        </w:r>
        <w:r w:rsidR="00000000">
          <w:fldChar w:fldCharType="end"/>
        </w:r>
      </w:hyperlink>
    </w:p>
    <w:p w14:paraId="14024BBB" w14:textId="77777777" w:rsidR="00B82D50" w:rsidRDefault="00A77B3E">
      <w:pPr>
        <w:pStyle w:val="TOC3"/>
        <w:tabs>
          <w:tab w:val="right" w:leader="dot" w:pos="10240"/>
        </w:tabs>
        <w:rPr>
          <w:rFonts w:ascii="Calibri" w:hAnsi="Calibri"/>
          <w:sz w:val="22"/>
        </w:rPr>
      </w:pPr>
      <w:hyperlink w:anchor="_Toc256000214" w:history="1">
        <w:r>
          <w:rPr>
            <w:rStyle w:val="Hyperlink"/>
          </w:rPr>
          <w:t>2.1.1. Priority: SEM3. Sustainable and Integrated Urban Development</w:t>
        </w:r>
        <w:r w:rsidR="00000000">
          <w:tab/>
        </w:r>
        <w:r w:rsidR="00000000">
          <w:fldChar w:fldCharType="begin"/>
        </w:r>
        <w:r w:rsidR="00000000">
          <w:instrText xml:space="preserve"> PAGEREF _Toc256000214 \h </w:instrText>
        </w:r>
        <w:r w:rsidR="00000000">
          <w:fldChar w:fldCharType="separate"/>
        </w:r>
        <w:r w:rsidR="00000000">
          <w:t>44</w:t>
        </w:r>
        <w:r w:rsidR="00000000">
          <w:fldChar w:fldCharType="end"/>
        </w:r>
      </w:hyperlink>
    </w:p>
    <w:p w14:paraId="37200FA3" w14:textId="77777777" w:rsidR="00B82D50" w:rsidRDefault="00A77B3E">
      <w:pPr>
        <w:pStyle w:val="TOC4"/>
        <w:tabs>
          <w:tab w:val="right" w:leader="dot" w:pos="10240"/>
        </w:tabs>
        <w:rPr>
          <w:rFonts w:ascii="Calibri" w:hAnsi="Calibri"/>
          <w:sz w:val="22"/>
        </w:rPr>
      </w:pPr>
      <w:hyperlink w:anchor="_Toc256000215" w:history="1">
        <w:r>
          <w:rPr>
            <w:rStyle w:val="Hyperlink"/>
          </w:rPr>
          <w:t>2.1.1.1. Specific objective: RSO5.1. Fostering the integrated and inclusive social, economic and environmental development, culture, natural heritage, sustainable tourism, and security in urban areas (ERDF)</w:t>
        </w:r>
        <w:r w:rsidR="00000000">
          <w:tab/>
        </w:r>
        <w:r w:rsidR="00000000">
          <w:fldChar w:fldCharType="begin"/>
        </w:r>
        <w:r w:rsidR="00000000">
          <w:instrText xml:space="preserve"> PAGEREF _Toc256000215 \h </w:instrText>
        </w:r>
        <w:r w:rsidR="00000000">
          <w:fldChar w:fldCharType="separate"/>
        </w:r>
        <w:r w:rsidR="00000000">
          <w:t>44</w:t>
        </w:r>
        <w:r w:rsidR="00000000">
          <w:fldChar w:fldCharType="end"/>
        </w:r>
      </w:hyperlink>
    </w:p>
    <w:p w14:paraId="6404BDB9" w14:textId="77777777" w:rsidR="00B82D50" w:rsidRDefault="00A77B3E">
      <w:pPr>
        <w:pStyle w:val="TOC4"/>
        <w:tabs>
          <w:tab w:val="right" w:leader="dot" w:pos="10240"/>
        </w:tabs>
        <w:rPr>
          <w:rFonts w:ascii="Calibri" w:hAnsi="Calibri"/>
          <w:sz w:val="22"/>
        </w:rPr>
      </w:pPr>
      <w:hyperlink w:anchor="_Toc256000216" w:history="1">
        <w:r>
          <w:rPr>
            <w:rStyle w:val="Hyperlink"/>
          </w:rPr>
          <w:t>2.1.1.1.1. Interventions of the Funds</w:t>
        </w:r>
        <w:r w:rsidR="00000000">
          <w:tab/>
        </w:r>
        <w:r w:rsidR="00000000">
          <w:fldChar w:fldCharType="begin"/>
        </w:r>
        <w:r w:rsidR="00000000">
          <w:instrText xml:space="preserve"> PAGEREF _Toc256000216 \h </w:instrText>
        </w:r>
        <w:r w:rsidR="00000000">
          <w:fldChar w:fldCharType="separate"/>
        </w:r>
        <w:r w:rsidR="00000000">
          <w:t>44</w:t>
        </w:r>
        <w:r w:rsidR="00000000">
          <w:fldChar w:fldCharType="end"/>
        </w:r>
      </w:hyperlink>
    </w:p>
    <w:p w14:paraId="24EF566C" w14:textId="77777777" w:rsidR="00B82D50" w:rsidRDefault="00A77B3E">
      <w:pPr>
        <w:pStyle w:val="TOC5"/>
        <w:tabs>
          <w:tab w:val="right" w:leader="dot" w:pos="10240"/>
        </w:tabs>
        <w:rPr>
          <w:rFonts w:ascii="Calibri" w:hAnsi="Calibri"/>
          <w:sz w:val="22"/>
        </w:rPr>
      </w:pPr>
      <w:hyperlink w:anchor="_Toc256000217" w:history="1">
        <w:r>
          <w:rPr>
            <w:rStyle w:val="Hyperlink"/>
          </w:rPr>
          <w:t>The related types of actions – point (d)(i) of Article 22(3) CPR and Article 6 ESF+ Regulation:</w:t>
        </w:r>
        <w:r w:rsidR="00000000">
          <w:tab/>
        </w:r>
        <w:r w:rsidR="00000000">
          <w:fldChar w:fldCharType="begin"/>
        </w:r>
        <w:r w:rsidR="00000000">
          <w:instrText xml:space="preserve"> PAGEREF _Toc256000217 \h </w:instrText>
        </w:r>
        <w:r w:rsidR="00000000">
          <w:fldChar w:fldCharType="separate"/>
        </w:r>
        <w:r w:rsidR="00000000">
          <w:t>44</w:t>
        </w:r>
        <w:r w:rsidR="00000000">
          <w:fldChar w:fldCharType="end"/>
        </w:r>
      </w:hyperlink>
    </w:p>
    <w:p w14:paraId="0CD33C83" w14:textId="77777777" w:rsidR="00B82D50" w:rsidRDefault="00A77B3E">
      <w:pPr>
        <w:pStyle w:val="TOC5"/>
        <w:tabs>
          <w:tab w:val="right" w:leader="dot" w:pos="10240"/>
        </w:tabs>
        <w:rPr>
          <w:rFonts w:ascii="Calibri" w:hAnsi="Calibri"/>
          <w:sz w:val="22"/>
        </w:rPr>
      </w:pPr>
      <w:hyperlink w:anchor="_Toc256000218" w:history="1">
        <w:r>
          <w:rPr>
            <w:rStyle w:val="Hyperlink"/>
          </w:rPr>
          <w:t>The main target groups - point (d)(iii) of Article 22(3) CPR:</w:t>
        </w:r>
        <w:r w:rsidR="00000000">
          <w:tab/>
        </w:r>
        <w:r w:rsidR="00000000">
          <w:fldChar w:fldCharType="begin"/>
        </w:r>
        <w:r w:rsidR="00000000">
          <w:instrText xml:space="preserve"> PAGEREF _Toc256000218 \h </w:instrText>
        </w:r>
        <w:r w:rsidR="00000000">
          <w:fldChar w:fldCharType="separate"/>
        </w:r>
        <w:r w:rsidR="00000000">
          <w:t>45</w:t>
        </w:r>
        <w:r w:rsidR="00000000">
          <w:fldChar w:fldCharType="end"/>
        </w:r>
      </w:hyperlink>
    </w:p>
    <w:p w14:paraId="1EC527D0" w14:textId="77777777" w:rsidR="00B82D50" w:rsidRDefault="00A77B3E">
      <w:pPr>
        <w:pStyle w:val="TOC5"/>
        <w:tabs>
          <w:tab w:val="right" w:leader="dot" w:pos="10240"/>
        </w:tabs>
        <w:rPr>
          <w:rFonts w:ascii="Calibri" w:hAnsi="Calibri"/>
          <w:sz w:val="22"/>
        </w:rPr>
      </w:pPr>
      <w:hyperlink w:anchor="_Toc256000219" w:history="1">
        <w:r>
          <w:rPr>
            <w:rStyle w:val="Hyperlink"/>
          </w:rPr>
          <w:t>Actions safeguarding equality, inclusion and non-discrimination – point (d)(iv) of Article 22(3) CPR and Article 6 ESF+ Regulation</w:t>
        </w:r>
        <w:r w:rsidR="00000000">
          <w:tab/>
        </w:r>
        <w:r w:rsidR="00000000">
          <w:fldChar w:fldCharType="begin"/>
        </w:r>
        <w:r w:rsidR="00000000">
          <w:instrText xml:space="preserve"> PAGEREF _Toc256000219 \h </w:instrText>
        </w:r>
        <w:r w:rsidR="00000000">
          <w:fldChar w:fldCharType="separate"/>
        </w:r>
        <w:r w:rsidR="00000000">
          <w:t>46</w:t>
        </w:r>
        <w:r w:rsidR="00000000">
          <w:fldChar w:fldCharType="end"/>
        </w:r>
      </w:hyperlink>
    </w:p>
    <w:p w14:paraId="0C950F36" w14:textId="77777777" w:rsidR="00B82D50" w:rsidRDefault="00A77B3E">
      <w:pPr>
        <w:pStyle w:val="TOC5"/>
        <w:tabs>
          <w:tab w:val="right" w:leader="dot" w:pos="10240"/>
        </w:tabs>
        <w:rPr>
          <w:rFonts w:ascii="Calibri" w:hAnsi="Calibri"/>
          <w:sz w:val="22"/>
        </w:rPr>
      </w:pPr>
      <w:hyperlink w:anchor="_Toc256000220" w:history="1">
        <w:r>
          <w:rPr>
            <w:rStyle w:val="Hyperlink"/>
          </w:rPr>
          <w:t>Indication of the specific territories targeted, including the planned use of territorial tools – point (d)(v) of Article 22(3) CPR</w:t>
        </w:r>
        <w:r w:rsidR="00000000">
          <w:tab/>
        </w:r>
        <w:r w:rsidR="00000000">
          <w:fldChar w:fldCharType="begin"/>
        </w:r>
        <w:r w:rsidR="00000000">
          <w:instrText xml:space="preserve"> PAGEREF _Toc256000220 \h </w:instrText>
        </w:r>
        <w:r w:rsidR="00000000">
          <w:fldChar w:fldCharType="separate"/>
        </w:r>
        <w:r w:rsidR="00000000">
          <w:t>46</w:t>
        </w:r>
        <w:r w:rsidR="00000000">
          <w:fldChar w:fldCharType="end"/>
        </w:r>
      </w:hyperlink>
    </w:p>
    <w:p w14:paraId="4D754A61" w14:textId="77777777" w:rsidR="00B82D50" w:rsidRDefault="00A77B3E">
      <w:pPr>
        <w:pStyle w:val="TOC5"/>
        <w:tabs>
          <w:tab w:val="right" w:leader="dot" w:pos="10240"/>
        </w:tabs>
        <w:rPr>
          <w:rFonts w:ascii="Calibri" w:hAnsi="Calibri"/>
          <w:sz w:val="22"/>
        </w:rPr>
      </w:pPr>
      <w:hyperlink w:anchor="_Toc256000221" w:history="1">
        <w:r>
          <w:rPr>
            <w:rStyle w:val="Hyperlink"/>
          </w:rPr>
          <w:t>The interregional, cross-border and transnational actions – point (d)(vi) of Article 22(3) CPR</w:t>
        </w:r>
        <w:r w:rsidR="00000000">
          <w:tab/>
        </w:r>
        <w:r w:rsidR="00000000">
          <w:fldChar w:fldCharType="begin"/>
        </w:r>
        <w:r w:rsidR="00000000">
          <w:instrText xml:space="preserve"> PAGEREF _Toc256000221 \h </w:instrText>
        </w:r>
        <w:r w:rsidR="00000000">
          <w:fldChar w:fldCharType="separate"/>
        </w:r>
        <w:r w:rsidR="00000000">
          <w:t>46</w:t>
        </w:r>
        <w:r w:rsidR="00000000">
          <w:fldChar w:fldCharType="end"/>
        </w:r>
      </w:hyperlink>
    </w:p>
    <w:p w14:paraId="27B35B2F" w14:textId="77777777" w:rsidR="00B82D50" w:rsidRDefault="00A77B3E">
      <w:pPr>
        <w:pStyle w:val="TOC5"/>
        <w:tabs>
          <w:tab w:val="right" w:leader="dot" w:pos="10240"/>
        </w:tabs>
        <w:rPr>
          <w:rFonts w:ascii="Calibri" w:hAnsi="Calibri"/>
          <w:sz w:val="22"/>
        </w:rPr>
      </w:pPr>
      <w:hyperlink w:anchor="_Toc256000222" w:history="1">
        <w:r>
          <w:rPr>
            <w:rStyle w:val="Hyperlink"/>
          </w:rPr>
          <w:t>The planned use of financial instruments – point (d)(vii) of Article 22(3) CPR</w:t>
        </w:r>
        <w:r w:rsidR="00000000">
          <w:tab/>
        </w:r>
        <w:r w:rsidR="00000000">
          <w:fldChar w:fldCharType="begin"/>
        </w:r>
        <w:r w:rsidR="00000000">
          <w:instrText xml:space="preserve"> PAGEREF _Toc256000222 \h </w:instrText>
        </w:r>
        <w:r w:rsidR="00000000">
          <w:fldChar w:fldCharType="separate"/>
        </w:r>
        <w:r w:rsidR="00000000">
          <w:t>47</w:t>
        </w:r>
        <w:r w:rsidR="00000000">
          <w:fldChar w:fldCharType="end"/>
        </w:r>
      </w:hyperlink>
    </w:p>
    <w:p w14:paraId="26BDDBCA" w14:textId="77777777" w:rsidR="00B82D50" w:rsidRDefault="00A77B3E">
      <w:pPr>
        <w:pStyle w:val="TOC4"/>
        <w:tabs>
          <w:tab w:val="right" w:leader="dot" w:pos="10240"/>
        </w:tabs>
        <w:rPr>
          <w:rFonts w:ascii="Calibri" w:hAnsi="Calibri"/>
          <w:sz w:val="22"/>
        </w:rPr>
      </w:pPr>
      <w:hyperlink w:anchor="_Toc256000223" w:history="1">
        <w:r>
          <w:rPr>
            <w:rStyle w:val="Hyperlink"/>
          </w:rPr>
          <w:t>2.1.1.1.2. Indicators</w:t>
        </w:r>
        <w:r w:rsidR="00000000">
          <w:tab/>
        </w:r>
        <w:r w:rsidR="00000000">
          <w:fldChar w:fldCharType="begin"/>
        </w:r>
        <w:r w:rsidR="00000000">
          <w:instrText xml:space="preserve"> PAGEREF _Toc256000223 \h </w:instrText>
        </w:r>
        <w:r w:rsidR="00000000">
          <w:fldChar w:fldCharType="separate"/>
        </w:r>
        <w:r w:rsidR="00000000">
          <w:t>47</w:t>
        </w:r>
        <w:r w:rsidR="00000000">
          <w:fldChar w:fldCharType="end"/>
        </w:r>
      </w:hyperlink>
    </w:p>
    <w:p w14:paraId="5CA59352" w14:textId="77777777" w:rsidR="00B82D50" w:rsidRDefault="00A77B3E">
      <w:pPr>
        <w:pStyle w:val="TOC5"/>
        <w:tabs>
          <w:tab w:val="right" w:leader="dot" w:pos="10240"/>
        </w:tabs>
        <w:rPr>
          <w:rFonts w:ascii="Calibri" w:hAnsi="Calibri"/>
          <w:sz w:val="22"/>
        </w:rPr>
      </w:pPr>
      <w:hyperlink w:anchor="_Toc256000224" w:history="1">
        <w:r>
          <w:rPr>
            <w:rStyle w:val="Hyperlink"/>
          </w:rPr>
          <w:t>Table 2: Output indicators</w:t>
        </w:r>
        <w:r w:rsidR="00000000">
          <w:tab/>
        </w:r>
        <w:r w:rsidR="00000000">
          <w:fldChar w:fldCharType="begin"/>
        </w:r>
        <w:r w:rsidR="00000000">
          <w:instrText xml:space="preserve"> PAGEREF _Toc256000224 \h </w:instrText>
        </w:r>
        <w:r w:rsidR="00000000">
          <w:fldChar w:fldCharType="separate"/>
        </w:r>
        <w:r w:rsidR="00000000">
          <w:t>47</w:t>
        </w:r>
        <w:r w:rsidR="00000000">
          <w:fldChar w:fldCharType="end"/>
        </w:r>
      </w:hyperlink>
    </w:p>
    <w:p w14:paraId="5711A0CE" w14:textId="77777777" w:rsidR="00B82D50" w:rsidRDefault="00A77B3E">
      <w:pPr>
        <w:pStyle w:val="TOC5"/>
        <w:tabs>
          <w:tab w:val="right" w:leader="dot" w:pos="10240"/>
        </w:tabs>
        <w:rPr>
          <w:rFonts w:ascii="Calibri" w:hAnsi="Calibri"/>
          <w:sz w:val="22"/>
        </w:rPr>
      </w:pPr>
      <w:hyperlink w:anchor="_Toc256000225" w:history="1">
        <w:r>
          <w:rPr>
            <w:rStyle w:val="Hyperlink"/>
          </w:rPr>
          <w:t>Table 3: Result indicators</w:t>
        </w:r>
        <w:r w:rsidR="00000000">
          <w:tab/>
        </w:r>
        <w:r w:rsidR="00000000">
          <w:fldChar w:fldCharType="begin"/>
        </w:r>
        <w:r w:rsidR="00000000">
          <w:instrText xml:space="preserve"> PAGEREF _Toc256000225 \h </w:instrText>
        </w:r>
        <w:r w:rsidR="00000000">
          <w:fldChar w:fldCharType="separate"/>
        </w:r>
        <w:r w:rsidR="00000000">
          <w:t>47</w:t>
        </w:r>
        <w:r w:rsidR="00000000">
          <w:fldChar w:fldCharType="end"/>
        </w:r>
      </w:hyperlink>
    </w:p>
    <w:p w14:paraId="5A52EDE1" w14:textId="77777777" w:rsidR="00B82D50" w:rsidRDefault="00A77B3E">
      <w:pPr>
        <w:pStyle w:val="TOC4"/>
        <w:tabs>
          <w:tab w:val="right" w:leader="dot" w:pos="10240"/>
        </w:tabs>
        <w:rPr>
          <w:rFonts w:ascii="Calibri" w:hAnsi="Calibri"/>
          <w:sz w:val="22"/>
        </w:rPr>
      </w:pPr>
      <w:hyperlink w:anchor="_Toc256000226" w:history="1">
        <w:r>
          <w:rPr>
            <w:rStyle w:val="Hyperlink"/>
          </w:rPr>
          <w:t>2.1.1.1.3. Indicative breakdown of the programmed resources (EU) by type of intervention</w:t>
        </w:r>
        <w:r w:rsidR="00000000">
          <w:tab/>
        </w:r>
        <w:r w:rsidR="00000000">
          <w:fldChar w:fldCharType="begin"/>
        </w:r>
        <w:r w:rsidR="00000000">
          <w:instrText xml:space="preserve"> PAGEREF _Toc256000226 \h </w:instrText>
        </w:r>
        <w:r w:rsidR="00000000">
          <w:fldChar w:fldCharType="separate"/>
        </w:r>
        <w:r w:rsidR="00000000">
          <w:t>48</w:t>
        </w:r>
        <w:r w:rsidR="00000000">
          <w:fldChar w:fldCharType="end"/>
        </w:r>
      </w:hyperlink>
    </w:p>
    <w:p w14:paraId="3A7CB1EC" w14:textId="77777777" w:rsidR="00B82D50" w:rsidRDefault="00A77B3E">
      <w:pPr>
        <w:pStyle w:val="TOC5"/>
        <w:tabs>
          <w:tab w:val="right" w:leader="dot" w:pos="10240"/>
        </w:tabs>
        <w:rPr>
          <w:rFonts w:ascii="Calibri" w:hAnsi="Calibri"/>
          <w:sz w:val="22"/>
        </w:rPr>
      </w:pPr>
      <w:hyperlink w:anchor="_Toc256000227" w:history="1">
        <w:r>
          <w:rPr>
            <w:rStyle w:val="Hyperlink"/>
          </w:rPr>
          <w:t>Table 4: Dimension 1 - intervention field</w:t>
        </w:r>
        <w:r w:rsidR="00000000">
          <w:tab/>
        </w:r>
        <w:r w:rsidR="00000000">
          <w:fldChar w:fldCharType="begin"/>
        </w:r>
        <w:r w:rsidR="00000000">
          <w:instrText xml:space="preserve"> PAGEREF _Toc256000227 \h </w:instrText>
        </w:r>
        <w:r w:rsidR="00000000">
          <w:fldChar w:fldCharType="separate"/>
        </w:r>
        <w:r w:rsidR="00000000">
          <w:t>48</w:t>
        </w:r>
        <w:r w:rsidR="00000000">
          <w:fldChar w:fldCharType="end"/>
        </w:r>
      </w:hyperlink>
    </w:p>
    <w:p w14:paraId="5CC274C3" w14:textId="77777777" w:rsidR="00B82D50" w:rsidRDefault="00A77B3E">
      <w:pPr>
        <w:pStyle w:val="TOC5"/>
        <w:tabs>
          <w:tab w:val="right" w:leader="dot" w:pos="10240"/>
        </w:tabs>
        <w:rPr>
          <w:rFonts w:ascii="Calibri" w:hAnsi="Calibri"/>
          <w:sz w:val="22"/>
        </w:rPr>
      </w:pPr>
      <w:hyperlink w:anchor="_Toc256000228" w:history="1">
        <w:r>
          <w:rPr>
            <w:rStyle w:val="Hyperlink"/>
          </w:rPr>
          <w:t>Table 5: Dimension 2 - form of financing</w:t>
        </w:r>
        <w:r w:rsidR="00000000">
          <w:tab/>
        </w:r>
        <w:r w:rsidR="00000000">
          <w:fldChar w:fldCharType="begin"/>
        </w:r>
        <w:r w:rsidR="00000000">
          <w:instrText xml:space="preserve"> PAGEREF _Toc256000228 \h </w:instrText>
        </w:r>
        <w:r w:rsidR="00000000">
          <w:fldChar w:fldCharType="separate"/>
        </w:r>
        <w:r w:rsidR="00000000">
          <w:t>48</w:t>
        </w:r>
        <w:r w:rsidR="00000000">
          <w:fldChar w:fldCharType="end"/>
        </w:r>
      </w:hyperlink>
    </w:p>
    <w:p w14:paraId="2B06485D" w14:textId="77777777" w:rsidR="00B82D50" w:rsidRDefault="00A77B3E">
      <w:pPr>
        <w:pStyle w:val="TOC5"/>
        <w:tabs>
          <w:tab w:val="right" w:leader="dot" w:pos="10240"/>
        </w:tabs>
        <w:rPr>
          <w:rFonts w:ascii="Calibri" w:hAnsi="Calibri"/>
          <w:sz w:val="22"/>
        </w:rPr>
      </w:pPr>
      <w:hyperlink w:anchor="_Toc256000229" w:history="1">
        <w:r>
          <w:rPr>
            <w:rStyle w:val="Hyperlink"/>
          </w:rPr>
          <w:t>Table 6: Dimension 3 – territorial delivery mechanism and territorial focus</w:t>
        </w:r>
        <w:r w:rsidR="00000000">
          <w:tab/>
        </w:r>
        <w:r w:rsidR="00000000">
          <w:fldChar w:fldCharType="begin"/>
        </w:r>
        <w:r w:rsidR="00000000">
          <w:instrText xml:space="preserve"> PAGEREF _Toc256000229 \h </w:instrText>
        </w:r>
        <w:r w:rsidR="00000000">
          <w:fldChar w:fldCharType="separate"/>
        </w:r>
        <w:r w:rsidR="00000000">
          <w:t>48</w:t>
        </w:r>
        <w:r w:rsidR="00000000">
          <w:fldChar w:fldCharType="end"/>
        </w:r>
      </w:hyperlink>
    </w:p>
    <w:p w14:paraId="2B12E45D" w14:textId="77777777" w:rsidR="00B82D50" w:rsidRDefault="00A77B3E">
      <w:pPr>
        <w:pStyle w:val="TOC5"/>
        <w:tabs>
          <w:tab w:val="right" w:leader="dot" w:pos="10240"/>
        </w:tabs>
        <w:rPr>
          <w:rFonts w:ascii="Calibri" w:hAnsi="Calibri"/>
          <w:sz w:val="22"/>
        </w:rPr>
      </w:pPr>
      <w:hyperlink w:anchor="_Toc256000230" w:history="1">
        <w:r>
          <w:rPr>
            <w:rStyle w:val="Hyperlink"/>
          </w:rPr>
          <w:t>Table 7: Dimension 6 – ESF+ secondary themes</w:t>
        </w:r>
        <w:r w:rsidR="00000000">
          <w:tab/>
        </w:r>
        <w:r w:rsidR="00000000">
          <w:fldChar w:fldCharType="begin"/>
        </w:r>
        <w:r w:rsidR="00000000">
          <w:instrText xml:space="preserve"> PAGEREF _Toc256000230 \h </w:instrText>
        </w:r>
        <w:r w:rsidR="00000000">
          <w:fldChar w:fldCharType="separate"/>
        </w:r>
        <w:r w:rsidR="00000000">
          <w:t>48</w:t>
        </w:r>
        <w:r w:rsidR="00000000">
          <w:fldChar w:fldCharType="end"/>
        </w:r>
      </w:hyperlink>
    </w:p>
    <w:p w14:paraId="0ECF8FB1" w14:textId="77777777" w:rsidR="00B82D50" w:rsidRDefault="00A77B3E">
      <w:pPr>
        <w:pStyle w:val="TOC5"/>
        <w:tabs>
          <w:tab w:val="right" w:leader="dot" w:pos="10240"/>
        </w:tabs>
        <w:rPr>
          <w:rFonts w:ascii="Calibri" w:hAnsi="Calibri"/>
          <w:sz w:val="22"/>
        </w:rPr>
      </w:pPr>
      <w:hyperlink w:anchor="_Toc256000231" w:history="1">
        <w:r>
          <w:rPr>
            <w:rStyle w:val="Hyperlink"/>
          </w:rPr>
          <w:t>Table 8: Dimension 7 – ESF+*, ERDF, Cohesion Fund and JTF gender equality dimension</w:t>
        </w:r>
        <w:r w:rsidR="00000000">
          <w:tab/>
        </w:r>
        <w:r w:rsidR="00000000">
          <w:fldChar w:fldCharType="begin"/>
        </w:r>
        <w:r w:rsidR="00000000">
          <w:instrText xml:space="preserve"> PAGEREF _Toc256000231 \h </w:instrText>
        </w:r>
        <w:r w:rsidR="00000000">
          <w:fldChar w:fldCharType="separate"/>
        </w:r>
        <w:r w:rsidR="00000000">
          <w:t>48</w:t>
        </w:r>
        <w:r w:rsidR="00000000">
          <w:fldChar w:fldCharType="end"/>
        </w:r>
      </w:hyperlink>
    </w:p>
    <w:p w14:paraId="4BC82CDA" w14:textId="77777777" w:rsidR="00B82D50" w:rsidRDefault="00A77B3E">
      <w:pPr>
        <w:pStyle w:val="TOC3"/>
        <w:tabs>
          <w:tab w:val="right" w:leader="dot" w:pos="10240"/>
        </w:tabs>
        <w:rPr>
          <w:rFonts w:ascii="Calibri" w:hAnsi="Calibri"/>
          <w:sz w:val="22"/>
        </w:rPr>
      </w:pPr>
      <w:hyperlink w:anchor="_Toc256000232" w:history="1">
        <w:r>
          <w:rPr>
            <w:rStyle w:val="Hyperlink"/>
          </w:rPr>
          <w:t>2.1.1. Priority: SEM4. Sustainable and Affordable Housing</w:t>
        </w:r>
        <w:r w:rsidR="00000000">
          <w:tab/>
        </w:r>
        <w:r w:rsidR="00000000">
          <w:fldChar w:fldCharType="begin"/>
        </w:r>
        <w:r w:rsidR="00000000">
          <w:instrText xml:space="preserve"> PAGEREF _Toc256000232 \h </w:instrText>
        </w:r>
        <w:r w:rsidR="00000000">
          <w:fldChar w:fldCharType="separate"/>
        </w:r>
        <w:r w:rsidR="00000000">
          <w:t>50</w:t>
        </w:r>
        <w:r w:rsidR="00000000">
          <w:fldChar w:fldCharType="end"/>
        </w:r>
      </w:hyperlink>
    </w:p>
    <w:p w14:paraId="596D7FD6" w14:textId="77777777" w:rsidR="00B82D50" w:rsidRDefault="00A77B3E">
      <w:pPr>
        <w:pStyle w:val="TOC4"/>
        <w:tabs>
          <w:tab w:val="right" w:leader="dot" w:pos="10240"/>
        </w:tabs>
        <w:rPr>
          <w:rFonts w:ascii="Calibri" w:hAnsi="Calibri"/>
          <w:sz w:val="22"/>
        </w:rPr>
      </w:pPr>
      <w:hyperlink w:anchor="_Toc256000233" w:history="1">
        <w:r>
          <w:rPr>
            <w:rStyle w:val="Hyperlink"/>
          </w:rPr>
          <w:t>2.1.1.1. Specific objective: RSO2.11. Promoting access to affordable and sustainable housing (ERDF)</w:t>
        </w:r>
        <w:r w:rsidR="00000000">
          <w:tab/>
        </w:r>
        <w:r w:rsidR="00000000">
          <w:fldChar w:fldCharType="begin"/>
        </w:r>
        <w:r w:rsidR="00000000">
          <w:instrText xml:space="preserve"> PAGEREF _Toc256000233 \h </w:instrText>
        </w:r>
        <w:r w:rsidR="00000000">
          <w:fldChar w:fldCharType="separate"/>
        </w:r>
        <w:r w:rsidR="00000000">
          <w:t>50</w:t>
        </w:r>
        <w:r w:rsidR="00000000">
          <w:fldChar w:fldCharType="end"/>
        </w:r>
      </w:hyperlink>
    </w:p>
    <w:p w14:paraId="58CE0A02" w14:textId="77777777" w:rsidR="00B82D50" w:rsidRDefault="00A77B3E">
      <w:pPr>
        <w:pStyle w:val="TOC4"/>
        <w:tabs>
          <w:tab w:val="right" w:leader="dot" w:pos="10240"/>
        </w:tabs>
        <w:rPr>
          <w:rFonts w:ascii="Calibri" w:hAnsi="Calibri"/>
          <w:sz w:val="22"/>
        </w:rPr>
      </w:pPr>
      <w:hyperlink w:anchor="_Toc256000234" w:history="1">
        <w:r>
          <w:rPr>
            <w:rStyle w:val="Hyperlink"/>
          </w:rPr>
          <w:t>2.1.1.1.1. Interventions of the Funds</w:t>
        </w:r>
        <w:r w:rsidR="00000000">
          <w:tab/>
        </w:r>
        <w:r w:rsidR="00000000">
          <w:fldChar w:fldCharType="begin"/>
        </w:r>
        <w:r w:rsidR="00000000">
          <w:instrText xml:space="preserve"> PAGEREF _Toc256000234 \h </w:instrText>
        </w:r>
        <w:r w:rsidR="00000000">
          <w:fldChar w:fldCharType="separate"/>
        </w:r>
        <w:r w:rsidR="00000000">
          <w:t>50</w:t>
        </w:r>
        <w:r w:rsidR="00000000">
          <w:fldChar w:fldCharType="end"/>
        </w:r>
      </w:hyperlink>
    </w:p>
    <w:p w14:paraId="7362E3B0" w14:textId="77777777" w:rsidR="00B82D50" w:rsidRDefault="00A77B3E">
      <w:pPr>
        <w:pStyle w:val="TOC5"/>
        <w:tabs>
          <w:tab w:val="right" w:leader="dot" w:pos="10240"/>
        </w:tabs>
        <w:rPr>
          <w:rFonts w:ascii="Calibri" w:hAnsi="Calibri"/>
          <w:sz w:val="22"/>
        </w:rPr>
      </w:pPr>
      <w:hyperlink w:anchor="_Toc256000235" w:history="1">
        <w:r>
          <w:rPr>
            <w:rStyle w:val="Hyperlink"/>
          </w:rPr>
          <w:t>The related types of actions – point (d)(i) of Article 22(3) CPR and Article 6 ESF+ Regulation:</w:t>
        </w:r>
        <w:r w:rsidR="00000000">
          <w:tab/>
        </w:r>
        <w:r w:rsidR="00000000">
          <w:fldChar w:fldCharType="begin"/>
        </w:r>
        <w:r w:rsidR="00000000">
          <w:instrText xml:space="preserve"> PAGEREF _Toc256000235 \h </w:instrText>
        </w:r>
        <w:r w:rsidR="00000000">
          <w:fldChar w:fldCharType="separate"/>
        </w:r>
        <w:r w:rsidR="00000000">
          <w:t>50</w:t>
        </w:r>
        <w:r w:rsidR="00000000">
          <w:fldChar w:fldCharType="end"/>
        </w:r>
      </w:hyperlink>
    </w:p>
    <w:p w14:paraId="33C5C588" w14:textId="77777777" w:rsidR="00B82D50" w:rsidRDefault="00A77B3E">
      <w:pPr>
        <w:pStyle w:val="TOC5"/>
        <w:tabs>
          <w:tab w:val="right" w:leader="dot" w:pos="10240"/>
        </w:tabs>
        <w:rPr>
          <w:rFonts w:ascii="Calibri" w:hAnsi="Calibri"/>
          <w:sz w:val="22"/>
        </w:rPr>
      </w:pPr>
      <w:hyperlink w:anchor="_Toc256000236" w:history="1">
        <w:r>
          <w:rPr>
            <w:rStyle w:val="Hyperlink"/>
          </w:rPr>
          <w:t>The main target groups - point (d)(iii) of Article 22(3) CPR:</w:t>
        </w:r>
        <w:r w:rsidR="00000000">
          <w:tab/>
        </w:r>
        <w:r w:rsidR="00000000">
          <w:fldChar w:fldCharType="begin"/>
        </w:r>
        <w:r w:rsidR="00000000">
          <w:instrText xml:space="preserve"> PAGEREF _Toc256000236 \h </w:instrText>
        </w:r>
        <w:r w:rsidR="00000000">
          <w:fldChar w:fldCharType="separate"/>
        </w:r>
        <w:r w:rsidR="00000000">
          <w:t>51</w:t>
        </w:r>
        <w:r w:rsidR="00000000">
          <w:fldChar w:fldCharType="end"/>
        </w:r>
      </w:hyperlink>
    </w:p>
    <w:p w14:paraId="4537D024" w14:textId="77777777" w:rsidR="00B82D50" w:rsidRDefault="00A77B3E">
      <w:pPr>
        <w:pStyle w:val="TOC5"/>
        <w:tabs>
          <w:tab w:val="right" w:leader="dot" w:pos="10240"/>
        </w:tabs>
        <w:rPr>
          <w:rFonts w:ascii="Calibri" w:hAnsi="Calibri"/>
          <w:sz w:val="22"/>
        </w:rPr>
      </w:pPr>
      <w:hyperlink w:anchor="_Toc256000237" w:history="1">
        <w:r>
          <w:rPr>
            <w:rStyle w:val="Hyperlink"/>
          </w:rPr>
          <w:t>Actions safeguarding equality, inclusion and non-discrimination – point (d)(iv) of Article 22(3) CPR and Article 6 ESF+ Regulation</w:t>
        </w:r>
        <w:r w:rsidR="00000000">
          <w:tab/>
        </w:r>
        <w:r w:rsidR="00000000">
          <w:fldChar w:fldCharType="begin"/>
        </w:r>
        <w:r w:rsidR="00000000">
          <w:instrText xml:space="preserve"> PAGEREF _Toc256000237 \h </w:instrText>
        </w:r>
        <w:r w:rsidR="00000000">
          <w:fldChar w:fldCharType="separate"/>
        </w:r>
        <w:r w:rsidR="00000000">
          <w:t>52</w:t>
        </w:r>
        <w:r w:rsidR="00000000">
          <w:fldChar w:fldCharType="end"/>
        </w:r>
      </w:hyperlink>
    </w:p>
    <w:p w14:paraId="0938D7D6" w14:textId="77777777" w:rsidR="00B82D50" w:rsidRDefault="00A77B3E">
      <w:pPr>
        <w:pStyle w:val="TOC5"/>
        <w:tabs>
          <w:tab w:val="right" w:leader="dot" w:pos="10240"/>
        </w:tabs>
        <w:rPr>
          <w:rFonts w:ascii="Calibri" w:hAnsi="Calibri"/>
          <w:sz w:val="22"/>
        </w:rPr>
      </w:pPr>
      <w:hyperlink w:anchor="_Toc256000238" w:history="1">
        <w:r>
          <w:rPr>
            <w:rStyle w:val="Hyperlink"/>
          </w:rPr>
          <w:t>Indication of the specific territories targeted, including the planned use of territorial tools – point (d)(v) of Article 22(3) CPR</w:t>
        </w:r>
        <w:r w:rsidR="00000000">
          <w:tab/>
        </w:r>
        <w:r w:rsidR="00000000">
          <w:fldChar w:fldCharType="begin"/>
        </w:r>
        <w:r w:rsidR="00000000">
          <w:instrText xml:space="preserve"> PAGEREF _Toc256000238 \h </w:instrText>
        </w:r>
        <w:r w:rsidR="00000000">
          <w:fldChar w:fldCharType="separate"/>
        </w:r>
        <w:r w:rsidR="00000000">
          <w:t>52</w:t>
        </w:r>
        <w:r w:rsidR="00000000">
          <w:fldChar w:fldCharType="end"/>
        </w:r>
      </w:hyperlink>
    </w:p>
    <w:p w14:paraId="64BCEFA7" w14:textId="77777777" w:rsidR="00B82D50" w:rsidRDefault="00A77B3E">
      <w:pPr>
        <w:pStyle w:val="TOC5"/>
        <w:tabs>
          <w:tab w:val="right" w:leader="dot" w:pos="10240"/>
        </w:tabs>
        <w:rPr>
          <w:rFonts w:ascii="Calibri" w:hAnsi="Calibri"/>
          <w:sz w:val="22"/>
        </w:rPr>
      </w:pPr>
      <w:hyperlink w:anchor="_Toc256000239" w:history="1">
        <w:r>
          <w:rPr>
            <w:rStyle w:val="Hyperlink"/>
          </w:rPr>
          <w:t>The interregional, cross-border and transnational actions – point (d)(vi) of Article 22(3) CPR</w:t>
        </w:r>
        <w:r w:rsidR="00000000">
          <w:tab/>
        </w:r>
        <w:r w:rsidR="00000000">
          <w:fldChar w:fldCharType="begin"/>
        </w:r>
        <w:r w:rsidR="00000000">
          <w:instrText xml:space="preserve"> PAGEREF _Toc256000239 \h </w:instrText>
        </w:r>
        <w:r w:rsidR="00000000">
          <w:fldChar w:fldCharType="separate"/>
        </w:r>
        <w:r w:rsidR="00000000">
          <w:t>52</w:t>
        </w:r>
        <w:r w:rsidR="00000000">
          <w:fldChar w:fldCharType="end"/>
        </w:r>
      </w:hyperlink>
    </w:p>
    <w:p w14:paraId="3F42BB60" w14:textId="77777777" w:rsidR="00B82D50" w:rsidRDefault="00A77B3E">
      <w:pPr>
        <w:pStyle w:val="TOC5"/>
        <w:tabs>
          <w:tab w:val="right" w:leader="dot" w:pos="10240"/>
        </w:tabs>
        <w:rPr>
          <w:rFonts w:ascii="Calibri" w:hAnsi="Calibri"/>
          <w:sz w:val="22"/>
        </w:rPr>
      </w:pPr>
      <w:hyperlink w:anchor="_Toc256000240" w:history="1">
        <w:r>
          <w:rPr>
            <w:rStyle w:val="Hyperlink"/>
          </w:rPr>
          <w:t>The planned use of financial instruments – point (d)(vii) of Article 22(3) CPR</w:t>
        </w:r>
        <w:r w:rsidR="00000000">
          <w:tab/>
        </w:r>
        <w:r w:rsidR="00000000">
          <w:fldChar w:fldCharType="begin"/>
        </w:r>
        <w:r w:rsidR="00000000">
          <w:instrText xml:space="preserve"> PAGEREF _Toc256000240 \h </w:instrText>
        </w:r>
        <w:r w:rsidR="00000000">
          <w:fldChar w:fldCharType="separate"/>
        </w:r>
        <w:r w:rsidR="00000000">
          <w:t>53</w:t>
        </w:r>
        <w:r w:rsidR="00000000">
          <w:fldChar w:fldCharType="end"/>
        </w:r>
      </w:hyperlink>
    </w:p>
    <w:p w14:paraId="7E1B2651" w14:textId="77777777" w:rsidR="00B82D50" w:rsidRDefault="00A77B3E">
      <w:pPr>
        <w:pStyle w:val="TOC4"/>
        <w:tabs>
          <w:tab w:val="right" w:leader="dot" w:pos="10240"/>
        </w:tabs>
        <w:rPr>
          <w:rFonts w:ascii="Calibri" w:hAnsi="Calibri"/>
          <w:sz w:val="22"/>
        </w:rPr>
      </w:pPr>
      <w:hyperlink w:anchor="_Toc256000241" w:history="1">
        <w:r>
          <w:rPr>
            <w:rStyle w:val="Hyperlink"/>
          </w:rPr>
          <w:t>2.1.1.1.2. Indicators</w:t>
        </w:r>
        <w:r w:rsidR="00000000">
          <w:tab/>
        </w:r>
        <w:r w:rsidR="00000000">
          <w:fldChar w:fldCharType="begin"/>
        </w:r>
        <w:r w:rsidR="00000000">
          <w:instrText xml:space="preserve"> PAGEREF _Toc256000241 \h </w:instrText>
        </w:r>
        <w:r w:rsidR="00000000">
          <w:fldChar w:fldCharType="separate"/>
        </w:r>
        <w:r w:rsidR="00000000">
          <w:t>53</w:t>
        </w:r>
        <w:r w:rsidR="00000000">
          <w:fldChar w:fldCharType="end"/>
        </w:r>
      </w:hyperlink>
    </w:p>
    <w:p w14:paraId="7299E676" w14:textId="77777777" w:rsidR="00B82D50" w:rsidRDefault="00A77B3E">
      <w:pPr>
        <w:pStyle w:val="TOC5"/>
        <w:tabs>
          <w:tab w:val="right" w:leader="dot" w:pos="10240"/>
        </w:tabs>
        <w:rPr>
          <w:rFonts w:ascii="Calibri" w:hAnsi="Calibri"/>
          <w:sz w:val="22"/>
        </w:rPr>
      </w:pPr>
      <w:hyperlink w:anchor="_Toc256000242" w:history="1">
        <w:r>
          <w:rPr>
            <w:rStyle w:val="Hyperlink"/>
          </w:rPr>
          <w:t>Table 2: Output indicators</w:t>
        </w:r>
        <w:r w:rsidR="00000000">
          <w:tab/>
        </w:r>
        <w:r w:rsidR="00000000">
          <w:fldChar w:fldCharType="begin"/>
        </w:r>
        <w:r w:rsidR="00000000">
          <w:instrText xml:space="preserve"> PAGEREF _Toc256000242 \h </w:instrText>
        </w:r>
        <w:r w:rsidR="00000000">
          <w:fldChar w:fldCharType="separate"/>
        </w:r>
        <w:r w:rsidR="00000000">
          <w:t>53</w:t>
        </w:r>
        <w:r w:rsidR="00000000">
          <w:fldChar w:fldCharType="end"/>
        </w:r>
      </w:hyperlink>
    </w:p>
    <w:p w14:paraId="152B3295" w14:textId="77777777" w:rsidR="00B82D50" w:rsidRDefault="00A77B3E">
      <w:pPr>
        <w:pStyle w:val="TOC5"/>
        <w:tabs>
          <w:tab w:val="right" w:leader="dot" w:pos="10240"/>
        </w:tabs>
        <w:rPr>
          <w:rFonts w:ascii="Calibri" w:hAnsi="Calibri"/>
          <w:sz w:val="22"/>
        </w:rPr>
      </w:pPr>
      <w:hyperlink w:anchor="_Toc256000243" w:history="1">
        <w:r>
          <w:rPr>
            <w:rStyle w:val="Hyperlink"/>
          </w:rPr>
          <w:t>Table 3: Result indicators</w:t>
        </w:r>
        <w:r w:rsidR="00000000">
          <w:tab/>
        </w:r>
        <w:r w:rsidR="00000000">
          <w:fldChar w:fldCharType="begin"/>
        </w:r>
        <w:r w:rsidR="00000000">
          <w:instrText xml:space="preserve"> PAGEREF _Toc256000243 \h </w:instrText>
        </w:r>
        <w:r w:rsidR="00000000">
          <w:fldChar w:fldCharType="separate"/>
        </w:r>
        <w:r w:rsidR="00000000">
          <w:t>53</w:t>
        </w:r>
        <w:r w:rsidR="00000000">
          <w:fldChar w:fldCharType="end"/>
        </w:r>
      </w:hyperlink>
    </w:p>
    <w:p w14:paraId="35403F64" w14:textId="77777777" w:rsidR="00B82D50" w:rsidRDefault="00A77B3E">
      <w:pPr>
        <w:pStyle w:val="TOC4"/>
        <w:tabs>
          <w:tab w:val="right" w:leader="dot" w:pos="10240"/>
        </w:tabs>
        <w:rPr>
          <w:rFonts w:ascii="Calibri" w:hAnsi="Calibri"/>
          <w:sz w:val="22"/>
        </w:rPr>
      </w:pPr>
      <w:hyperlink w:anchor="_Toc256000244" w:history="1">
        <w:r>
          <w:rPr>
            <w:rStyle w:val="Hyperlink"/>
          </w:rPr>
          <w:t>2.1.1.1.3. Indicative breakdown of the programmed resources (EU) by type of intervention</w:t>
        </w:r>
        <w:r w:rsidR="00000000">
          <w:tab/>
        </w:r>
        <w:r w:rsidR="00000000">
          <w:fldChar w:fldCharType="begin"/>
        </w:r>
        <w:r w:rsidR="00000000">
          <w:instrText xml:space="preserve"> PAGEREF _Toc256000244 \h </w:instrText>
        </w:r>
        <w:r w:rsidR="00000000">
          <w:fldChar w:fldCharType="separate"/>
        </w:r>
        <w:r w:rsidR="00000000">
          <w:t>54</w:t>
        </w:r>
        <w:r w:rsidR="00000000">
          <w:fldChar w:fldCharType="end"/>
        </w:r>
      </w:hyperlink>
    </w:p>
    <w:p w14:paraId="7CCCC12E" w14:textId="77777777" w:rsidR="00B82D50" w:rsidRDefault="00A77B3E">
      <w:pPr>
        <w:pStyle w:val="TOC5"/>
        <w:tabs>
          <w:tab w:val="right" w:leader="dot" w:pos="10240"/>
        </w:tabs>
        <w:rPr>
          <w:rFonts w:ascii="Calibri" w:hAnsi="Calibri"/>
          <w:sz w:val="22"/>
        </w:rPr>
      </w:pPr>
      <w:hyperlink w:anchor="_Toc256000245" w:history="1">
        <w:r>
          <w:rPr>
            <w:rStyle w:val="Hyperlink"/>
          </w:rPr>
          <w:t>Table 4: Dimension 1 - intervention field</w:t>
        </w:r>
        <w:r w:rsidR="00000000">
          <w:tab/>
        </w:r>
        <w:r w:rsidR="00000000">
          <w:fldChar w:fldCharType="begin"/>
        </w:r>
        <w:r w:rsidR="00000000">
          <w:instrText xml:space="preserve"> PAGEREF _Toc256000245 \h </w:instrText>
        </w:r>
        <w:r w:rsidR="00000000">
          <w:fldChar w:fldCharType="separate"/>
        </w:r>
        <w:r w:rsidR="00000000">
          <w:t>54</w:t>
        </w:r>
        <w:r w:rsidR="00000000">
          <w:fldChar w:fldCharType="end"/>
        </w:r>
      </w:hyperlink>
    </w:p>
    <w:p w14:paraId="561C0A74" w14:textId="77777777" w:rsidR="00B82D50" w:rsidRDefault="00A77B3E">
      <w:pPr>
        <w:pStyle w:val="TOC5"/>
        <w:tabs>
          <w:tab w:val="right" w:leader="dot" w:pos="10240"/>
        </w:tabs>
        <w:rPr>
          <w:rFonts w:ascii="Calibri" w:hAnsi="Calibri"/>
          <w:sz w:val="22"/>
        </w:rPr>
      </w:pPr>
      <w:hyperlink w:anchor="_Toc256000246" w:history="1">
        <w:r>
          <w:rPr>
            <w:rStyle w:val="Hyperlink"/>
          </w:rPr>
          <w:t>Table 5: Dimension 2 - form of financing</w:t>
        </w:r>
        <w:r w:rsidR="00000000">
          <w:tab/>
        </w:r>
        <w:r w:rsidR="00000000">
          <w:fldChar w:fldCharType="begin"/>
        </w:r>
        <w:r w:rsidR="00000000">
          <w:instrText xml:space="preserve"> PAGEREF _Toc256000246 \h </w:instrText>
        </w:r>
        <w:r w:rsidR="00000000">
          <w:fldChar w:fldCharType="separate"/>
        </w:r>
        <w:r w:rsidR="00000000">
          <w:t>54</w:t>
        </w:r>
        <w:r w:rsidR="00000000">
          <w:fldChar w:fldCharType="end"/>
        </w:r>
      </w:hyperlink>
    </w:p>
    <w:p w14:paraId="0CC9F104" w14:textId="77777777" w:rsidR="00B82D50" w:rsidRDefault="00A77B3E">
      <w:pPr>
        <w:pStyle w:val="TOC5"/>
        <w:tabs>
          <w:tab w:val="right" w:leader="dot" w:pos="10240"/>
        </w:tabs>
        <w:rPr>
          <w:rFonts w:ascii="Calibri" w:hAnsi="Calibri"/>
          <w:sz w:val="22"/>
        </w:rPr>
      </w:pPr>
      <w:hyperlink w:anchor="_Toc256000247" w:history="1">
        <w:r>
          <w:rPr>
            <w:rStyle w:val="Hyperlink"/>
          </w:rPr>
          <w:t>Table 6: Dimension 3 – territorial delivery mechanism and territorial focus</w:t>
        </w:r>
        <w:r w:rsidR="00000000">
          <w:tab/>
        </w:r>
        <w:r w:rsidR="00000000">
          <w:fldChar w:fldCharType="begin"/>
        </w:r>
        <w:r w:rsidR="00000000">
          <w:instrText xml:space="preserve"> PAGEREF _Toc256000247 \h </w:instrText>
        </w:r>
        <w:r w:rsidR="00000000">
          <w:fldChar w:fldCharType="separate"/>
        </w:r>
        <w:r w:rsidR="00000000">
          <w:t>55</w:t>
        </w:r>
        <w:r w:rsidR="00000000">
          <w:fldChar w:fldCharType="end"/>
        </w:r>
      </w:hyperlink>
    </w:p>
    <w:p w14:paraId="3A2FD702" w14:textId="77777777" w:rsidR="00B82D50" w:rsidRDefault="00A77B3E">
      <w:pPr>
        <w:pStyle w:val="TOC5"/>
        <w:tabs>
          <w:tab w:val="right" w:leader="dot" w:pos="10240"/>
        </w:tabs>
        <w:rPr>
          <w:rFonts w:ascii="Calibri" w:hAnsi="Calibri"/>
          <w:sz w:val="22"/>
        </w:rPr>
      </w:pPr>
      <w:hyperlink w:anchor="_Toc256000248" w:history="1">
        <w:r>
          <w:rPr>
            <w:rStyle w:val="Hyperlink"/>
          </w:rPr>
          <w:t>Table 7: Dimension 6 – ESF+ secondary themes</w:t>
        </w:r>
        <w:r w:rsidR="00000000">
          <w:tab/>
        </w:r>
        <w:r w:rsidR="00000000">
          <w:fldChar w:fldCharType="begin"/>
        </w:r>
        <w:r w:rsidR="00000000">
          <w:instrText xml:space="preserve"> PAGEREF _Toc256000248 \h </w:instrText>
        </w:r>
        <w:r w:rsidR="00000000">
          <w:fldChar w:fldCharType="separate"/>
        </w:r>
        <w:r w:rsidR="00000000">
          <w:t>55</w:t>
        </w:r>
        <w:r w:rsidR="00000000">
          <w:fldChar w:fldCharType="end"/>
        </w:r>
      </w:hyperlink>
    </w:p>
    <w:p w14:paraId="5858362D" w14:textId="77777777" w:rsidR="00B82D50" w:rsidRDefault="00A77B3E">
      <w:pPr>
        <w:pStyle w:val="TOC5"/>
        <w:tabs>
          <w:tab w:val="right" w:leader="dot" w:pos="10240"/>
        </w:tabs>
        <w:rPr>
          <w:rFonts w:ascii="Calibri" w:hAnsi="Calibri"/>
          <w:sz w:val="22"/>
        </w:rPr>
      </w:pPr>
      <w:hyperlink w:anchor="_Toc256000249" w:history="1">
        <w:r>
          <w:rPr>
            <w:rStyle w:val="Hyperlink"/>
          </w:rPr>
          <w:t>Table 8: Dimension 7 – ESF+*, ERDF, Cohesion Fund and JTF gender equality dimension</w:t>
        </w:r>
        <w:r w:rsidR="00000000">
          <w:tab/>
        </w:r>
        <w:r w:rsidR="00000000">
          <w:fldChar w:fldCharType="begin"/>
        </w:r>
        <w:r w:rsidR="00000000">
          <w:instrText xml:space="preserve"> PAGEREF _Toc256000249 \h </w:instrText>
        </w:r>
        <w:r w:rsidR="00000000">
          <w:fldChar w:fldCharType="separate"/>
        </w:r>
        <w:r w:rsidR="00000000">
          <w:t>55</w:t>
        </w:r>
        <w:r w:rsidR="00000000">
          <w:fldChar w:fldCharType="end"/>
        </w:r>
      </w:hyperlink>
    </w:p>
    <w:p w14:paraId="4B233D01" w14:textId="77777777" w:rsidR="00B82D50" w:rsidRDefault="00A77B3E">
      <w:pPr>
        <w:pStyle w:val="TOC3"/>
        <w:tabs>
          <w:tab w:val="right" w:leader="dot" w:pos="10240"/>
        </w:tabs>
        <w:rPr>
          <w:rFonts w:ascii="Calibri" w:hAnsi="Calibri"/>
          <w:sz w:val="22"/>
        </w:rPr>
      </w:pPr>
      <w:hyperlink w:anchor="_Toc256000250" w:history="1">
        <w:r>
          <w:rPr>
            <w:rStyle w:val="Hyperlink"/>
          </w:rPr>
          <w:t>2.1.1. Priority: SEM5. Strategic Technologies for Europe</w:t>
        </w:r>
        <w:r w:rsidR="00000000">
          <w:tab/>
        </w:r>
        <w:r w:rsidR="00000000">
          <w:fldChar w:fldCharType="begin"/>
        </w:r>
        <w:r w:rsidR="00000000">
          <w:instrText xml:space="preserve"> PAGEREF _Toc256000250 \h </w:instrText>
        </w:r>
        <w:r w:rsidR="00000000">
          <w:fldChar w:fldCharType="separate"/>
        </w:r>
        <w:r w:rsidR="00000000">
          <w:t>56</w:t>
        </w:r>
        <w:r w:rsidR="00000000">
          <w:fldChar w:fldCharType="end"/>
        </w:r>
      </w:hyperlink>
    </w:p>
    <w:p w14:paraId="21E83558" w14:textId="77777777" w:rsidR="00B82D50" w:rsidRDefault="00A77B3E">
      <w:pPr>
        <w:pStyle w:val="TOC4"/>
        <w:tabs>
          <w:tab w:val="right" w:leader="dot" w:pos="10240"/>
        </w:tabs>
        <w:rPr>
          <w:rFonts w:ascii="Calibri" w:hAnsi="Calibri"/>
          <w:sz w:val="22"/>
        </w:rPr>
      </w:pPr>
      <w:hyperlink w:anchor="_Toc256000251" w:history="1">
        <w:r>
          <w:rPr>
            <w:rStyle w:val="Hyperlink"/>
          </w:rPr>
          <w:t>2.1.1.1. Specific objective: RSO1.6. Supporting investments contributing to the objectives of the Strategic Technologies for Europe Platform (STEP) referred to in Article 2 of Regulation (EU) 2024/795 of the European Parliament and of the Council (ERDF)</w:t>
        </w:r>
        <w:r w:rsidR="00000000">
          <w:tab/>
        </w:r>
        <w:r w:rsidR="00000000">
          <w:fldChar w:fldCharType="begin"/>
        </w:r>
        <w:r w:rsidR="00000000">
          <w:instrText xml:space="preserve"> PAGEREF _Toc256000251 \h </w:instrText>
        </w:r>
        <w:r w:rsidR="00000000">
          <w:fldChar w:fldCharType="separate"/>
        </w:r>
        <w:r w:rsidR="00000000">
          <w:t>56</w:t>
        </w:r>
        <w:r w:rsidR="00000000">
          <w:fldChar w:fldCharType="end"/>
        </w:r>
      </w:hyperlink>
    </w:p>
    <w:p w14:paraId="64532C9C" w14:textId="77777777" w:rsidR="00B82D50" w:rsidRDefault="00A77B3E">
      <w:pPr>
        <w:pStyle w:val="TOC4"/>
        <w:tabs>
          <w:tab w:val="right" w:leader="dot" w:pos="10240"/>
        </w:tabs>
        <w:rPr>
          <w:rFonts w:ascii="Calibri" w:hAnsi="Calibri"/>
          <w:sz w:val="22"/>
        </w:rPr>
      </w:pPr>
      <w:hyperlink w:anchor="_Toc256000252" w:history="1">
        <w:r>
          <w:rPr>
            <w:rStyle w:val="Hyperlink"/>
          </w:rPr>
          <w:t>2.1.1.1.1. Interventions of the Funds</w:t>
        </w:r>
        <w:r w:rsidR="00000000">
          <w:tab/>
        </w:r>
        <w:r w:rsidR="00000000">
          <w:fldChar w:fldCharType="begin"/>
        </w:r>
        <w:r w:rsidR="00000000">
          <w:instrText xml:space="preserve"> PAGEREF _Toc256000252 \h </w:instrText>
        </w:r>
        <w:r w:rsidR="00000000">
          <w:fldChar w:fldCharType="separate"/>
        </w:r>
        <w:r w:rsidR="00000000">
          <w:t>56</w:t>
        </w:r>
        <w:r w:rsidR="00000000">
          <w:fldChar w:fldCharType="end"/>
        </w:r>
      </w:hyperlink>
    </w:p>
    <w:p w14:paraId="65E34CFD" w14:textId="77777777" w:rsidR="00B82D50" w:rsidRDefault="00A77B3E">
      <w:pPr>
        <w:pStyle w:val="TOC5"/>
        <w:tabs>
          <w:tab w:val="right" w:leader="dot" w:pos="10240"/>
        </w:tabs>
        <w:rPr>
          <w:rFonts w:ascii="Calibri" w:hAnsi="Calibri"/>
          <w:sz w:val="22"/>
        </w:rPr>
      </w:pPr>
      <w:hyperlink w:anchor="_Toc256000253" w:history="1">
        <w:r>
          <w:rPr>
            <w:rStyle w:val="Hyperlink"/>
          </w:rPr>
          <w:t>The related types of actions – point (d)(i) of Article 22(3) CPR and Article 6 ESF+ Regulation:</w:t>
        </w:r>
        <w:r w:rsidR="00000000">
          <w:tab/>
        </w:r>
        <w:r w:rsidR="00000000">
          <w:fldChar w:fldCharType="begin"/>
        </w:r>
        <w:r w:rsidR="00000000">
          <w:instrText xml:space="preserve"> PAGEREF _Toc256000253 \h </w:instrText>
        </w:r>
        <w:r w:rsidR="00000000">
          <w:fldChar w:fldCharType="separate"/>
        </w:r>
        <w:r w:rsidR="00000000">
          <w:t>56</w:t>
        </w:r>
        <w:r w:rsidR="00000000">
          <w:fldChar w:fldCharType="end"/>
        </w:r>
      </w:hyperlink>
    </w:p>
    <w:p w14:paraId="5C0D6A76" w14:textId="77777777" w:rsidR="00B82D50" w:rsidRDefault="00A77B3E">
      <w:pPr>
        <w:pStyle w:val="TOC5"/>
        <w:tabs>
          <w:tab w:val="right" w:leader="dot" w:pos="10240"/>
        </w:tabs>
        <w:rPr>
          <w:rFonts w:ascii="Calibri" w:hAnsi="Calibri"/>
          <w:sz w:val="22"/>
        </w:rPr>
      </w:pPr>
      <w:hyperlink w:anchor="_Toc256000254" w:history="1">
        <w:r>
          <w:rPr>
            <w:rStyle w:val="Hyperlink"/>
          </w:rPr>
          <w:t>The main target groups - point (d)(iii) of Article 22(3) CPR:</w:t>
        </w:r>
        <w:r w:rsidR="00000000">
          <w:tab/>
        </w:r>
        <w:r w:rsidR="00000000">
          <w:fldChar w:fldCharType="begin"/>
        </w:r>
        <w:r w:rsidR="00000000">
          <w:instrText xml:space="preserve"> PAGEREF _Toc256000254 \h </w:instrText>
        </w:r>
        <w:r w:rsidR="00000000">
          <w:fldChar w:fldCharType="separate"/>
        </w:r>
        <w:r w:rsidR="00000000">
          <w:t>57</w:t>
        </w:r>
        <w:r w:rsidR="00000000">
          <w:fldChar w:fldCharType="end"/>
        </w:r>
      </w:hyperlink>
    </w:p>
    <w:p w14:paraId="09BA27EF" w14:textId="77777777" w:rsidR="00B82D50" w:rsidRDefault="00A77B3E">
      <w:pPr>
        <w:pStyle w:val="TOC5"/>
        <w:tabs>
          <w:tab w:val="right" w:leader="dot" w:pos="10240"/>
        </w:tabs>
        <w:rPr>
          <w:rFonts w:ascii="Calibri" w:hAnsi="Calibri"/>
          <w:sz w:val="22"/>
        </w:rPr>
      </w:pPr>
      <w:hyperlink w:anchor="_Toc256000255" w:history="1">
        <w:r>
          <w:rPr>
            <w:rStyle w:val="Hyperlink"/>
          </w:rPr>
          <w:t>Actions safeguarding equality, inclusion and non-discrimination – point (d)(iv) of Article 22(3) CPR and Article 6 ESF+ Regulation</w:t>
        </w:r>
        <w:r w:rsidR="00000000">
          <w:tab/>
        </w:r>
        <w:r w:rsidR="00000000">
          <w:fldChar w:fldCharType="begin"/>
        </w:r>
        <w:r w:rsidR="00000000">
          <w:instrText xml:space="preserve"> PAGEREF _Toc256000255 \h </w:instrText>
        </w:r>
        <w:r w:rsidR="00000000">
          <w:fldChar w:fldCharType="separate"/>
        </w:r>
        <w:r w:rsidR="00000000">
          <w:t>58</w:t>
        </w:r>
        <w:r w:rsidR="00000000">
          <w:fldChar w:fldCharType="end"/>
        </w:r>
      </w:hyperlink>
    </w:p>
    <w:p w14:paraId="459AA0FD" w14:textId="77777777" w:rsidR="00B82D50" w:rsidRDefault="00A77B3E">
      <w:pPr>
        <w:pStyle w:val="TOC5"/>
        <w:tabs>
          <w:tab w:val="right" w:leader="dot" w:pos="10240"/>
        </w:tabs>
        <w:rPr>
          <w:rFonts w:ascii="Calibri" w:hAnsi="Calibri"/>
          <w:sz w:val="22"/>
        </w:rPr>
      </w:pPr>
      <w:hyperlink w:anchor="_Toc256000256" w:history="1">
        <w:r>
          <w:rPr>
            <w:rStyle w:val="Hyperlink"/>
          </w:rPr>
          <w:t>Indication of the specific territories targeted, including the planned use of territorial tools – point (d)(v) of Article 22(3) CPR</w:t>
        </w:r>
        <w:r w:rsidR="00000000">
          <w:tab/>
        </w:r>
        <w:r w:rsidR="00000000">
          <w:fldChar w:fldCharType="begin"/>
        </w:r>
        <w:r w:rsidR="00000000">
          <w:instrText xml:space="preserve"> PAGEREF _Toc256000256 \h </w:instrText>
        </w:r>
        <w:r w:rsidR="00000000">
          <w:fldChar w:fldCharType="separate"/>
        </w:r>
        <w:r w:rsidR="00000000">
          <w:t>58</w:t>
        </w:r>
        <w:r w:rsidR="00000000">
          <w:fldChar w:fldCharType="end"/>
        </w:r>
      </w:hyperlink>
    </w:p>
    <w:p w14:paraId="581EE758" w14:textId="77777777" w:rsidR="00B82D50" w:rsidRDefault="00A77B3E">
      <w:pPr>
        <w:pStyle w:val="TOC5"/>
        <w:tabs>
          <w:tab w:val="right" w:leader="dot" w:pos="10240"/>
        </w:tabs>
        <w:rPr>
          <w:rFonts w:ascii="Calibri" w:hAnsi="Calibri"/>
          <w:sz w:val="22"/>
        </w:rPr>
      </w:pPr>
      <w:hyperlink w:anchor="_Toc256000257" w:history="1">
        <w:r>
          <w:rPr>
            <w:rStyle w:val="Hyperlink"/>
          </w:rPr>
          <w:t>The interregional, cross-border and transnational actions – point (d)(vi) of Article 22(3) CPR</w:t>
        </w:r>
        <w:r w:rsidR="00000000">
          <w:tab/>
        </w:r>
        <w:r w:rsidR="00000000">
          <w:fldChar w:fldCharType="begin"/>
        </w:r>
        <w:r w:rsidR="00000000">
          <w:instrText xml:space="preserve"> PAGEREF _Toc256000257 \h </w:instrText>
        </w:r>
        <w:r w:rsidR="00000000">
          <w:fldChar w:fldCharType="separate"/>
        </w:r>
        <w:r w:rsidR="00000000">
          <w:t>58</w:t>
        </w:r>
        <w:r w:rsidR="00000000">
          <w:fldChar w:fldCharType="end"/>
        </w:r>
      </w:hyperlink>
    </w:p>
    <w:p w14:paraId="349E0837" w14:textId="77777777" w:rsidR="00B82D50" w:rsidRDefault="00A77B3E">
      <w:pPr>
        <w:pStyle w:val="TOC5"/>
        <w:tabs>
          <w:tab w:val="right" w:leader="dot" w:pos="10240"/>
        </w:tabs>
        <w:rPr>
          <w:rFonts w:ascii="Calibri" w:hAnsi="Calibri"/>
          <w:sz w:val="22"/>
        </w:rPr>
      </w:pPr>
      <w:hyperlink w:anchor="_Toc256000258" w:history="1">
        <w:r>
          <w:rPr>
            <w:rStyle w:val="Hyperlink"/>
          </w:rPr>
          <w:t>The planned use of financial instruments – point (d)(vii) of Article 22(3) CPR</w:t>
        </w:r>
        <w:r w:rsidR="00000000">
          <w:tab/>
        </w:r>
        <w:r w:rsidR="00000000">
          <w:fldChar w:fldCharType="begin"/>
        </w:r>
        <w:r w:rsidR="00000000">
          <w:instrText xml:space="preserve"> PAGEREF _Toc256000258 \h </w:instrText>
        </w:r>
        <w:r w:rsidR="00000000">
          <w:fldChar w:fldCharType="separate"/>
        </w:r>
        <w:r w:rsidR="00000000">
          <w:t>58</w:t>
        </w:r>
        <w:r w:rsidR="00000000">
          <w:fldChar w:fldCharType="end"/>
        </w:r>
      </w:hyperlink>
    </w:p>
    <w:p w14:paraId="2DADF961" w14:textId="77777777" w:rsidR="00B82D50" w:rsidRDefault="00A77B3E">
      <w:pPr>
        <w:pStyle w:val="TOC4"/>
        <w:tabs>
          <w:tab w:val="right" w:leader="dot" w:pos="10240"/>
        </w:tabs>
        <w:rPr>
          <w:rFonts w:ascii="Calibri" w:hAnsi="Calibri"/>
          <w:sz w:val="22"/>
        </w:rPr>
      </w:pPr>
      <w:hyperlink w:anchor="_Toc256000259" w:history="1">
        <w:r>
          <w:rPr>
            <w:rStyle w:val="Hyperlink"/>
          </w:rPr>
          <w:t>2.1.1.1.2. Indicators</w:t>
        </w:r>
        <w:r w:rsidR="00000000">
          <w:tab/>
        </w:r>
        <w:r w:rsidR="00000000">
          <w:fldChar w:fldCharType="begin"/>
        </w:r>
        <w:r w:rsidR="00000000">
          <w:instrText xml:space="preserve"> PAGEREF _Toc256000259 \h </w:instrText>
        </w:r>
        <w:r w:rsidR="00000000">
          <w:fldChar w:fldCharType="separate"/>
        </w:r>
        <w:r w:rsidR="00000000">
          <w:t>59</w:t>
        </w:r>
        <w:r w:rsidR="00000000">
          <w:fldChar w:fldCharType="end"/>
        </w:r>
      </w:hyperlink>
    </w:p>
    <w:p w14:paraId="0644B816" w14:textId="77777777" w:rsidR="00B82D50" w:rsidRDefault="00A77B3E">
      <w:pPr>
        <w:pStyle w:val="TOC5"/>
        <w:tabs>
          <w:tab w:val="right" w:leader="dot" w:pos="10240"/>
        </w:tabs>
        <w:rPr>
          <w:rFonts w:ascii="Calibri" w:hAnsi="Calibri"/>
          <w:sz w:val="22"/>
        </w:rPr>
      </w:pPr>
      <w:hyperlink w:anchor="_Toc256000260" w:history="1">
        <w:r>
          <w:rPr>
            <w:rStyle w:val="Hyperlink"/>
          </w:rPr>
          <w:t>Table 2: Output indicators</w:t>
        </w:r>
        <w:r w:rsidR="00000000">
          <w:tab/>
        </w:r>
        <w:r w:rsidR="00000000">
          <w:fldChar w:fldCharType="begin"/>
        </w:r>
        <w:r w:rsidR="00000000">
          <w:instrText xml:space="preserve"> PAGEREF _Toc256000260 \h </w:instrText>
        </w:r>
        <w:r w:rsidR="00000000">
          <w:fldChar w:fldCharType="separate"/>
        </w:r>
        <w:r w:rsidR="00000000">
          <w:t>59</w:t>
        </w:r>
        <w:r w:rsidR="00000000">
          <w:fldChar w:fldCharType="end"/>
        </w:r>
      </w:hyperlink>
    </w:p>
    <w:p w14:paraId="1556E02A" w14:textId="77777777" w:rsidR="00B82D50" w:rsidRDefault="00A77B3E">
      <w:pPr>
        <w:pStyle w:val="TOC5"/>
        <w:tabs>
          <w:tab w:val="right" w:leader="dot" w:pos="10240"/>
        </w:tabs>
        <w:rPr>
          <w:rFonts w:ascii="Calibri" w:hAnsi="Calibri"/>
          <w:sz w:val="22"/>
        </w:rPr>
      </w:pPr>
      <w:hyperlink w:anchor="_Toc256000261" w:history="1">
        <w:r>
          <w:rPr>
            <w:rStyle w:val="Hyperlink"/>
          </w:rPr>
          <w:t>Table 3: Result indicators</w:t>
        </w:r>
        <w:r w:rsidR="00000000">
          <w:tab/>
        </w:r>
        <w:r w:rsidR="00000000">
          <w:fldChar w:fldCharType="begin"/>
        </w:r>
        <w:r w:rsidR="00000000">
          <w:instrText xml:space="preserve"> PAGEREF _Toc256000261 \h </w:instrText>
        </w:r>
        <w:r w:rsidR="00000000">
          <w:fldChar w:fldCharType="separate"/>
        </w:r>
        <w:r w:rsidR="00000000">
          <w:t>59</w:t>
        </w:r>
        <w:r w:rsidR="00000000">
          <w:fldChar w:fldCharType="end"/>
        </w:r>
      </w:hyperlink>
    </w:p>
    <w:p w14:paraId="40E25944" w14:textId="77777777" w:rsidR="00B82D50" w:rsidRDefault="00A77B3E">
      <w:pPr>
        <w:pStyle w:val="TOC4"/>
        <w:tabs>
          <w:tab w:val="right" w:leader="dot" w:pos="10240"/>
        </w:tabs>
        <w:rPr>
          <w:rFonts w:ascii="Calibri" w:hAnsi="Calibri"/>
          <w:sz w:val="22"/>
        </w:rPr>
      </w:pPr>
      <w:hyperlink w:anchor="_Toc256000262" w:history="1">
        <w:r>
          <w:rPr>
            <w:rStyle w:val="Hyperlink"/>
          </w:rPr>
          <w:t>2.1.1.1.3. Indicative breakdown of the programmed resources (EU) by type of intervention</w:t>
        </w:r>
        <w:r w:rsidR="00000000">
          <w:tab/>
        </w:r>
        <w:r w:rsidR="00000000">
          <w:fldChar w:fldCharType="begin"/>
        </w:r>
        <w:r w:rsidR="00000000">
          <w:instrText xml:space="preserve"> PAGEREF _Toc256000262 \h </w:instrText>
        </w:r>
        <w:r w:rsidR="00000000">
          <w:fldChar w:fldCharType="separate"/>
        </w:r>
        <w:r w:rsidR="00000000">
          <w:t>60</w:t>
        </w:r>
        <w:r w:rsidR="00000000">
          <w:fldChar w:fldCharType="end"/>
        </w:r>
      </w:hyperlink>
    </w:p>
    <w:p w14:paraId="46874D69" w14:textId="77777777" w:rsidR="00B82D50" w:rsidRDefault="00A77B3E">
      <w:pPr>
        <w:pStyle w:val="TOC5"/>
        <w:tabs>
          <w:tab w:val="right" w:leader="dot" w:pos="10240"/>
        </w:tabs>
        <w:rPr>
          <w:rFonts w:ascii="Calibri" w:hAnsi="Calibri"/>
          <w:sz w:val="22"/>
        </w:rPr>
      </w:pPr>
      <w:hyperlink w:anchor="_Toc256000263" w:history="1">
        <w:r>
          <w:rPr>
            <w:rStyle w:val="Hyperlink"/>
          </w:rPr>
          <w:t>Table 4: Dimension 1 - intervention field</w:t>
        </w:r>
        <w:r w:rsidR="00000000">
          <w:tab/>
        </w:r>
        <w:r w:rsidR="00000000">
          <w:fldChar w:fldCharType="begin"/>
        </w:r>
        <w:r w:rsidR="00000000">
          <w:instrText xml:space="preserve"> PAGEREF _Toc256000263 \h </w:instrText>
        </w:r>
        <w:r w:rsidR="00000000">
          <w:fldChar w:fldCharType="separate"/>
        </w:r>
        <w:r w:rsidR="00000000">
          <w:t>60</w:t>
        </w:r>
        <w:r w:rsidR="00000000">
          <w:fldChar w:fldCharType="end"/>
        </w:r>
      </w:hyperlink>
    </w:p>
    <w:p w14:paraId="4FB18877" w14:textId="77777777" w:rsidR="00B82D50" w:rsidRDefault="00A77B3E">
      <w:pPr>
        <w:pStyle w:val="TOC5"/>
        <w:tabs>
          <w:tab w:val="right" w:leader="dot" w:pos="10240"/>
        </w:tabs>
        <w:rPr>
          <w:rFonts w:ascii="Calibri" w:hAnsi="Calibri"/>
          <w:sz w:val="22"/>
        </w:rPr>
      </w:pPr>
      <w:hyperlink w:anchor="_Toc256000264" w:history="1">
        <w:r>
          <w:rPr>
            <w:rStyle w:val="Hyperlink"/>
          </w:rPr>
          <w:t>Table 5: Dimension 2 - form of financing</w:t>
        </w:r>
        <w:r w:rsidR="00000000">
          <w:tab/>
        </w:r>
        <w:r w:rsidR="00000000">
          <w:fldChar w:fldCharType="begin"/>
        </w:r>
        <w:r w:rsidR="00000000">
          <w:instrText xml:space="preserve"> PAGEREF _Toc256000264 \h </w:instrText>
        </w:r>
        <w:r w:rsidR="00000000">
          <w:fldChar w:fldCharType="separate"/>
        </w:r>
        <w:r w:rsidR="00000000">
          <w:t>60</w:t>
        </w:r>
        <w:r w:rsidR="00000000">
          <w:fldChar w:fldCharType="end"/>
        </w:r>
      </w:hyperlink>
    </w:p>
    <w:p w14:paraId="68CD1678" w14:textId="77777777" w:rsidR="00B82D50" w:rsidRDefault="00A77B3E">
      <w:pPr>
        <w:pStyle w:val="TOC5"/>
        <w:tabs>
          <w:tab w:val="right" w:leader="dot" w:pos="10240"/>
        </w:tabs>
        <w:rPr>
          <w:rFonts w:ascii="Calibri" w:hAnsi="Calibri"/>
          <w:sz w:val="22"/>
        </w:rPr>
      </w:pPr>
      <w:hyperlink w:anchor="_Toc256000265" w:history="1">
        <w:r>
          <w:rPr>
            <w:rStyle w:val="Hyperlink"/>
          </w:rPr>
          <w:t>Table 6: Dimension 3 – territorial delivery mechanism and territorial focus</w:t>
        </w:r>
        <w:r w:rsidR="00000000">
          <w:tab/>
        </w:r>
        <w:r w:rsidR="00000000">
          <w:fldChar w:fldCharType="begin"/>
        </w:r>
        <w:r w:rsidR="00000000">
          <w:instrText xml:space="preserve"> PAGEREF _Toc256000265 \h </w:instrText>
        </w:r>
        <w:r w:rsidR="00000000">
          <w:fldChar w:fldCharType="separate"/>
        </w:r>
        <w:r w:rsidR="00000000">
          <w:t>60</w:t>
        </w:r>
        <w:r w:rsidR="00000000">
          <w:fldChar w:fldCharType="end"/>
        </w:r>
      </w:hyperlink>
    </w:p>
    <w:p w14:paraId="1EE3E03F" w14:textId="77777777" w:rsidR="00B82D50" w:rsidRDefault="00A77B3E">
      <w:pPr>
        <w:pStyle w:val="TOC5"/>
        <w:tabs>
          <w:tab w:val="right" w:leader="dot" w:pos="10240"/>
        </w:tabs>
        <w:rPr>
          <w:rFonts w:ascii="Calibri" w:hAnsi="Calibri"/>
          <w:sz w:val="22"/>
        </w:rPr>
      </w:pPr>
      <w:hyperlink w:anchor="_Toc256000266" w:history="1">
        <w:r>
          <w:rPr>
            <w:rStyle w:val="Hyperlink"/>
          </w:rPr>
          <w:t>Table 7: Dimension 6 – ESF+ secondary themes</w:t>
        </w:r>
        <w:r w:rsidR="00000000">
          <w:tab/>
        </w:r>
        <w:r w:rsidR="00000000">
          <w:fldChar w:fldCharType="begin"/>
        </w:r>
        <w:r w:rsidR="00000000">
          <w:instrText xml:space="preserve"> PAGEREF _Toc256000266 \h </w:instrText>
        </w:r>
        <w:r w:rsidR="00000000">
          <w:fldChar w:fldCharType="separate"/>
        </w:r>
        <w:r w:rsidR="00000000">
          <w:t>60</w:t>
        </w:r>
        <w:r w:rsidR="00000000">
          <w:fldChar w:fldCharType="end"/>
        </w:r>
      </w:hyperlink>
    </w:p>
    <w:p w14:paraId="271EA4E2" w14:textId="77777777" w:rsidR="00B82D50" w:rsidRDefault="00A77B3E">
      <w:pPr>
        <w:pStyle w:val="TOC5"/>
        <w:tabs>
          <w:tab w:val="right" w:leader="dot" w:pos="10240"/>
        </w:tabs>
        <w:rPr>
          <w:rFonts w:ascii="Calibri" w:hAnsi="Calibri"/>
          <w:sz w:val="22"/>
        </w:rPr>
      </w:pPr>
      <w:hyperlink w:anchor="_Toc256000267" w:history="1">
        <w:r>
          <w:rPr>
            <w:rStyle w:val="Hyperlink"/>
          </w:rPr>
          <w:t>Table 8: Dimension 7 – ESF+*, ERDF, Cohesion Fund and JTF gender equality dimension</w:t>
        </w:r>
        <w:r w:rsidR="00000000">
          <w:tab/>
        </w:r>
        <w:r w:rsidR="00000000">
          <w:fldChar w:fldCharType="begin"/>
        </w:r>
        <w:r w:rsidR="00000000">
          <w:instrText xml:space="preserve"> PAGEREF _Toc256000267 \h </w:instrText>
        </w:r>
        <w:r w:rsidR="00000000">
          <w:fldChar w:fldCharType="separate"/>
        </w:r>
        <w:r w:rsidR="00000000">
          <w:t>61</w:t>
        </w:r>
        <w:r w:rsidR="00000000">
          <w:fldChar w:fldCharType="end"/>
        </w:r>
      </w:hyperlink>
    </w:p>
    <w:p w14:paraId="5DA83D54" w14:textId="77777777" w:rsidR="00B82D50" w:rsidRDefault="00A77B3E">
      <w:pPr>
        <w:pStyle w:val="TOC2"/>
        <w:tabs>
          <w:tab w:val="right" w:leader="dot" w:pos="10240"/>
        </w:tabs>
        <w:rPr>
          <w:rFonts w:ascii="Calibri" w:hAnsi="Calibri"/>
          <w:sz w:val="22"/>
        </w:rPr>
      </w:pPr>
      <w:hyperlink w:anchor="_Toc256000268" w:history="1">
        <w:r>
          <w:rPr>
            <w:rStyle w:val="Hyperlink"/>
          </w:rPr>
          <w:t>2.2. Technical assistance priorities</w:t>
        </w:r>
        <w:r w:rsidR="00000000">
          <w:tab/>
        </w:r>
        <w:r w:rsidR="00000000">
          <w:fldChar w:fldCharType="begin"/>
        </w:r>
        <w:r w:rsidR="00000000">
          <w:instrText xml:space="preserve"> PAGEREF _Toc256000268 \h </w:instrText>
        </w:r>
        <w:r w:rsidR="00000000">
          <w:fldChar w:fldCharType="separate"/>
        </w:r>
        <w:r w:rsidR="00000000">
          <w:t>62</w:t>
        </w:r>
        <w:r w:rsidR="00000000">
          <w:fldChar w:fldCharType="end"/>
        </w:r>
      </w:hyperlink>
    </w:p>
    <w:p w14:paraId="1A45A772" w14:textId="77777777" w:rsidR="00B82D50" w:rsidRDefault="00A77B3E">
      <w:pPr>
        <w:pStyle w:val="TOC1"/>
        <w:tabs>
          <w:tab w:val="right" w:leader="dot" w:pos="10240"/>
        </w:tabs>
        <w:rPr>
          <w:rFonts w:ascii="Calibri" w:hAnsi="Calibri"/>
          <w:sz w:val="22"/>
        </w:rPr>
      </w:pPr>
      <w:hyperlink w:anchor="_Toc256000269" w:history="1">
        <w:r>
          <w:rPr>
            <w:rStyle w:val="Hyperlink"/>
          </w:rPr>
          <w:t>3. Financing plan</w:t>
        </w:r>
        <w:r w:rsidR="00000000">
          <w:tab/>
        </w:r>
        <w:r w:rsidR="00000000">
          <w:fldChar w:fldCharType="begin"/>
        </w:r>
        <w:r w:rsidR="00000000">
          <w:instrText xml:space="preserve"> PAGEREF _Toc256000269 \h </w:instrText>
        </w:r>
        <w:r w:rsidR="00000000">
          <w:fldChar w:fldCharType="separate"/>
        </w:r>
        <w:r w:rsidR="00000000">
          <w:t>63</w:t>
        </w:r>
        <w:r w:rsidR="00000000">
          <w:fldChar w:fldCharType="end"/>
        </w:r>
      </w:hyperlink>
    </w:p>
    <w:p w14:paraId="7D35716A" w14:textId="77777777" w:rsidR="00B82D50" w:rsidRDefault="00A77B3E">
      <w:pPr>
        <w:pStyle w:val="TOC2"/>
        <w:tabs>
          <w:tab w:val="right" w:leader="dot" w:pos="10240"/>
        </w:tabs>
        <w:rPr>
          <w:rFonts w:ascii="Calibri" w:hAnsi="Calibri"/>
          <w:sz w:val="22"/>
        </w:rPr>
      </w:pPr>
      <w:hyperlink w:anchor="_Toc256000270" w:history="1">
        <w:r>
          <w:rPr>
            <w:rStyle w:val="Hyperlink"/>
          </w:rPr>
          <w:t>3.1. Transfers and contributions (1)</w:t>
        </w:r>
        <w:r w:rsidR="00000000">
          <w:tab/>
        </w:r>
        <w:r w:rsidR="00000000">
          <w:fldChar w:fldCharType="begin"/>
        </w:r>
        <w:r w:rsidR="00000000">
          <w:instrText xml:space="preserve"> PAGEREF _Toc256000270 \h </w:instrText>
        </w:r>
        <w:r w:rsidR="00000000">
          <w:fldChar w:fldCharType="separate"/>
        </w:r>
        <w:r w:rsidR="00000000">
          <w:t>63</w:t>
        </w:r>
        <w:r w:rsidR="00000000">
          <w:fldChar w:fldCharType="end"/>
        </w:r>
      </w:hyperlink>
    </w:p>
    <w:p w14:paraId="064CE7C6" w14:textId="77777777" w:rsidR="00B82D50" w:rsidRDefault="00A77B3E">
      <w:pPr>
        <w:pStyle w:val="TOC4"/>
        <w:tabs>
          <w:tab w:val="right" w:leader="dot" w:pos="10240"/>
        </w:tabs>
        <w:rPr>
          <w:rFonts w:ascii="Calibri" w:hAnsi="Calibri"/>
          <w:sz w:val="22"/>
        </w:rPr>
      </w:pPr>
      <w:hyperlink w:anchor="_Toc256000271" w:history="1">
        <w:r>
          <w:rPr>
            <w:rStyle w:val="Hyperlink"/>
          </w:rPr>
          <w:t>Table 15A: Contributions to InvestEU* (breakdown by year)</w:t>
        </w:r>
        <w:r w:rsidR="00000000">
          <w:tab/>
        </w:r>
        <w:r w:rsidR="00000000">
          <w:fldChar w:fldCharType="begin"/>
        </w:r>
        <w:r w:rsidR="00000000">
          <w:instrText xml:space="preserve"> PAGEREF _Toc256000271 \h </w:instrText>
        </w:r>
        <w:r w:rsidR="00000000">
          <w:fldChar w:fldCharType="separate"/>
        </w:r>
        <w:r w:rsidR="00000000">
          <w:t>63</w:t>
        </w:r>
        <w:r w:rsidR="00000000">
          <w:fldChar w:fldCharType="end"/>
        </w:r>
      </w:hyperlink>
    </w:p>
    <w:p w14:paraId="4F643892" w14:textId="77777777" w:rsidR="00B82D50" w:rsidRDefault="00A77B3E">
      <w:pPr>
        <w:pStyle w:val="TOC4"/>
        <w:tabs>
          <w:tab w:val="right" w:leader="dot" w:pos="10240"/>
        </w:tabs>
        <w:rPr>
          <w:rFonts w:ascii="Calibri" w:hAnsi="Calibri"/>
          <w:sz w:val="22"/>
        </w:rPr>
      </w:pPr>
      <w:hyperlink w:anchor="_Toc256000272" w:history="1">
        <w:r>
          <w:rPr>
            <w:rStyle w:val="Hyperlink"/>
          </w:rPr>
          <w:t>Table 15B: Contributions to InvestEU* (summary)</w:t>
        </w:r>
        <w:r w:rsidR="00000000">
          <w:tab/>
        </w:r>
        <w:r w:rsidR="00000000">
          <w:fldChar w:fldCharType="begin"/>
        </w:r>
        <w:r w:rsidR="00000000">
          <w:instrText xml:space="preserve"> PAGEREF _Toc256000272 \h </w:instrText>
        </w:r>
        <w:r w:rsidR="00000000">
          <w:fldChar w:fldCharType="separate"/>
        </w:r>
        <w:r w:rsidR="00000000">
          <w:t>63</w:t>
        </w:r>
        <w:r w:rsidR="00000000">
          <w:fldChar w:fldCharType="end"/>
        </w:r>
      </w:hyperlink>
    </w:p>
    <w:p w14:paraId="52DB283B" w14:textId="77777777" w:rsidR="00B82D50" w:rsidRDefault="00A77B3E">
      <w:pPr>
        <w:pStyle w:val="TOC4"/>
        <w:tabs>
          <w:tab w:val="right" w:leader="dot" w:pos="10240"/>
        </w:tabs>
        <w:rPr>
          <w:rFonts w:ascii="Calibri" w:hAnsi="Calibri"/>
          <w:sz w:val="22"/>
        </w:rPr>
      </w:pPr>
      <w:hyperlink w:anchor="_Toc256000273" w:history="1">
        <w:r>
          <w:rPr>
            <w:rStyle w:val="Hyperlink"/>
          </w:rPr>
          <w:t>Justification, taking into account how those amounts contribute to the achievement of policy objectives selected in the programme in accordance with Article 10(1) of the InvestEU Regulation</w:t>
        </w:r>
        <w:r w:rsidR="00000000">
          <w:tab/>
        </w:r>
        <w:r w:rsidR="00000000">
          <w:fldChar w:fldCharType="begin"/>
        </w:r>
        <w:r w:rsidR="00000000">
          <w:instrText xml:space="preserve"> PAGEREF _Toc256000273 \h </w:instrText>
        </w:r>
        <w:r w:rsidR="00000000">
          <w:fldChar w:fldCharType="separate"/>
        </w:r>
        <w:r w:rsidR="00000000">
          <w:t>63</w:t>
        </w:r>
        <w:r w:rsidR="00000000">
          <w:fldChar w:fldCharType="end"/>
        </w:r>
      </w:hyperlink>
    </w:p>
    <w:p w14:paraId="3CA34E8E" w14:textId="77777777" w:rsidR="00B82D50" w:rsidRDefault="00A77B3E">
      <w:pPr>
        <w:pStyle w:val="TOC4"/>
        <w:tabs>
          <w:tab w:val="right" w:leader="dot" w:pos="10240"/>
        </w:tabs>
        <w:rPr>
          <w:rFonts w:ascii="Calibri" w:hAnsi="Calibri"/>
          <w:sz w:val="22"/>
        </w:rPr>
      </w:pPr>
      <w:hyperlink w:anchor="_Toc256000274" w:history="1">
        <w:r>
          <w:rPr>
            <w:rStyle w:val="Hyperlink"/>
          </w:rPr>
          <w:t>Table 16A: Transfers to instruments under direct or indirect management (breakdown by year)</w:t>
        </w:r>
        <w:r w:rsidR="00000000">
          <w:tab/>
        </w:r>
        <w:r w:rsidR="00000000">
          <w:fldChar w:fldCharType="begin"/>
        </w:r>
        <w:r w:rsidR="00000000">
          <w:instrText xml:space="preserve"> PAGEREF _Toc256000274 \h </w:instrText>
        </w:r>
        <w:r w:rsidR="00000000">
          <w:fldChar w:fldCharType="separate"/>
        </w:r>
        <w:r w:rsidR="00000000">
          <w:t>64</w:t>
        </w:r>
        <w:r w:rsidR="00000000">
          <w:fldChar w:fldCharType="end"/>
        </w:r>
      </w:hyperlink>
    </w:p>
    <w:p w14:paraId="60095F5F" w14:textId="77777777" w:rsidR="00B82D50" w:rsidRDefault="00A77B3E">
      <w:pPr>
        <w:pStyle w:val="TOC4"/>
        <w:tabs>
          <w:tab w:val="right" w:leader="dot" w:pos="10240"/>
        </w:tabs>
        <w:rPr>
          <w:rFonts w:ascii="Calibri" w:hAnsi="Calibri"/>
          <w:sz w:val="22"/>
        </w:rPr>
      </w:pPr>
      <w:hyperlink w:anchor="_Toc256000275" w:history="1">
        <w:r>
          <w:rPr>
            <w:rStyle w:val="Hyperlink"/>
          </w:rPr>
          <w:t>Table 16B: Transfers to instruments under direct or indirect management* (summary)</w:t>
        </w:r>
        <w:r w:rsidR="00000000">
          <w:tab/>
        </w:r>
        <w:r w:rsidR="00000000">
          <w:fldChar w:fldCharType="begin"/>
        </w:r>
        <w:r w:rsidR="00000000">
          <w:instrText xml:space="preserve"> PAGEREF _Toc256000275 \h </w:instrText>
        </w:r>
        <w:r w:rsidR="00000000">
          <w:fldChar w:fldCharType="separate"/>
        </w:r>
        <w:r w:rsidR="00000000">
          <w:t>64</w:t>
        </w:r>
        <w:r w:rsidR="00000000">
          <w:fldChar w:fldCharType="end"/>
        </w:r>
      </w:hyperlink>
    </w:p>
    <w:p w14:paraId="629CABC8" w14:textId="77777777" w:rsidR="00B82D50" w:rsidRDefault="00A77B3E">
      <w:pPr>
        <w:pStyle w:val="TOC4"/>
        <w:tabs>
          <w:tab w:val="right" w:leader="dot" w:pos="10240"/>
        </w:tabs>
        <w:rPr>
          <w:rFonts w:ascii="Calibri" w:hAnsi="Calibri"/>
          <w:sz w:val="22"/>
        </w:rPr>
      </w:pPr>
      <w:hyperlink w:anchor="_Toc256000276" w:history="1">
        <w:r>
          <w:rPr>
            <w:rStyle w:val="Hyperlink"/>
          </w:rPr>
          <w:t>Transfers to instruments under direct or indirect management - Justification</w:t>
        </w:r>
        <w:r w:rsidR="00000000">
          <w:tab/>
        </w:r>
        <w:r w:rsidR="00000000">
          <w:fldChar w:fldCharType="begin"/>
        </w:r>
        <w:r w:rsidR="00000000">
          <w:instrText xml:space="preserve"> PAGEREF _Toc256000276 \h </w:instrText>
        </w:r>
        <w:r w:rsidR="00000000">
          <w:fldChar w:fldCharType="separate"/>
        </w:r>
        <w:r w:rsidR="00000000">
          <w:t>64</w:t>
        </w:r>
        <w:r w:rsidR="00000000">
          <w:fldChar w:fldCharType="end"/>
        </w:r>
      </w:hyperlink>
    </w:p>
    <w:p w14:paraId="2F77038E" w14:textId="77777777" w:rsidR="00B82D50" w:rsidRDefault="00A77B3E">
      <w:pPr>
        <w:pStyle w:val="TOC4"/>
        <w:tabs>
          <w:tab w:val="right" w:leader="dot" w:pos="10240"/>
        </w:tabs>
        <w:rPr>
          <w:rFonts w:ascii="Calibri" w:hAnsi="Calibri"/>
          <w:sz w:val="22"/>
        </w:rPr>
      </w:pPr>
      <w:hyperlink w:anchor="_Toc256000277" w:history="1">
        <w:r>
          <w:rPr>
            <w:rStyle w:val="Hyperlink"/>
          </w:rPr>
          <w:t>Table 17A: Transfers between ERDF, ESF+ and Cohesion Fund or to another Fund or Funds* (breakdown by year)</w:t>
        </w:r>
        <w:r w:rsidR="00000000">
          <w:tab/>
        </w:r>
        <w:r w:rsidR="00000000">
          <w:fldChar w:fldCharType="begin"/>
        </w:r>
        <w:r w:rsidR="00000000">
          <w:instrText xml:space="preserve"> PAGEREF _Toc256000277 \h </w:instrText>
        </w:r>
        <w:r w:rsidR="00000000">
          <w:fldChar w:fldCharType="separate"/>
        </w:r>
        <w:r w:rsidR="00000000">
          <w:t>64</w:t>
        </w:r>
        <w:r w:rsidR="00000000">
          <w:fldChar w:fldCharType="end"/>
        </w:r>
      </w:hyperlink>
    </w:p>
    <w:p w14:paraId="03D027A5" w14:textId="77777777" w:rsidR="00B82D50" w:rsidRDefault="00A77B3E">
      <w:pPr>
        <w:pStyle w:val="TOC4"/>
        <w:tabs>
          <w:tab w:val="right" w:leader="dot" w:pos="10240"/>
        </w:tabs>
        <w:rPr>
          <w:rFonts w:ascii="Calibri" w:hAnsi="Calibri"/>
          <w:sz w:val="22"/>
        </w:rPr>
      </w:pPr>
      <w:hyperlink w:anchor="_Toc256000278" w:history="1">
        <w:r>
          <w:rPr>
            <w:rStyle w:val="Hyperlink"/>
          </w:rPr>
          <w:t>Table 17B: Transfers between ERDF, ESF+ and Cohesion Fund or to another Fund or Funds (summary)</w:t>
        </w:r>
        <w:r w:rsidR="00000000">
          <w:tab/>
        </w:r>
        <w:r w:rsidR="00000000">
          <w:fldChar w:fldCharType="begin"/>
        </w:r>
        <w:r w:rsidR="00000000">
          <w:instrText xml:space="preserve"> PAGEREF _Toc256000278 \h </w:instrText>
        </w:r>
        <w:r w:rsidR="00000000">
          <w:fldChar w:fldCharType="separate"/>
        </w:r>
        <w:r w:rsidR="00000000">
          <w:t>64</w:t>
        </w:r>
        <w:r w:rsidR="00000000">
          <w:fldChar w:fldCharType="end"/>
        </w:r>
      </w:hyperlink>
    </w:p>
    <w:p w14:paraId="638D9C3D" w14:textId="77777777" w:rsidR="00B82D50" w:rsidRDefault="00A77B3E">
      <w:pPr>
        <w:pStyle w:val="TOC4"/>
        <w:tabs>
          <w:tab w:val="right" w:leader="dot" w:pos="10240"/>
        </w:tabs>
        <w:rPr>
          <w:rFonts w:ascii="Calibri" w:hAnsi="Calibri"/>
          <w:sz w:val="22"/>
        </w:rPr>
      </w:pPr>
      <w:hyperlink w:anchor="_Toc256000279" w:history="1">
        <w:r>
          <w:rPr>
            <w:rStyle w:val="Hyperlink"/>
          </w:rPr>
          <w:t>Transfers between shared management funds, including between cohesion policy funds - Justification</w:t>
        </w:r>
        <w:r w:rsidR="00000000">
          <w:tab/>
        </w:r>
        <w:r w:rsidR="00000000">
          <w:fldChar w:fldCharType="begin"/>
        </w:r>
        <w:r w:rsidR="00000000">
          <w:instrText xml:space="preserve"> PAGEREF _Toc256000279 \h </w:instrText>
        </w:r>
        <w:r w:rsidR="00000000">
          <w:fldChar w:fldCharType="separate"/>
        </w:r>
        <w:r w:rsidR="00000000">
          <w:t>65</w:t>
        </w:r>
        <w:r w:rsidR="00000000">
          <w:fldChar w:fldCharType="end"/>
        </w:r>
      </w:hyperlink>
    </w:p>
    <w:p w14:paraId="4AAFABF2" w14:textId="77777777" w:rsidR="00B82D50" w:rsidRDefault="00A77B3E">
      <w:pPr>
        <w:pStyle w:val="TOC4"/>
        <w:tabs>
          <w:tab w:val="right" w:leader="dot" w:pos="10240"/>
        </w:tabs>
        <w:rPr>
          <w:rFonts w:ascii="Calibri" w:hAnsi="Calibri"/>
          <w:sz w:val="22"/>
        </w:rPr>
      </w:pPr>
      <w:hyperlink w:anchor="_Toc256000280" w:history="1">
        <w:r>
          <w:rPr>
            <w:rStyle w:val="Hyperlink"/>
          </w:rPr>
          <w:t>Table 21: Resources contributing to the objectives set out in Article 21c(3) of Regulation (EU) 2021/241</w:t>
        </w:r>
        <w:r w:rsidR="00000000">
          <w:tab/>
        </w:r>
        <w:r w:rsidR="00000000">
          <w:fldChar w:fldCharType="begin"/>
        </w:r>
        <w:r w:rsidR="00000000">
          <w:instrText xml:space="preserve"> PAGEREF _Toc256000280 \h </w:instrText>
        </w:r>
        <w:r w:rsidR="00000000">
          <w:fldChar w:fldCharType="separate"/>
        </w:r>
        <w:r w:rsidR="00000000">
          <w:t>65</w:t>
        </w:r>
        <w:r w:rsidR="00000000">
          <w:fldChar w:fldCharType="end"/>
        </w:r>
      </w:hyperlink>
    </w:p>
    <w:p w14:paraId="5064504F" w14:textId="77777777" w:rsidR="00B82D50" w:rsidRDefault="00A77B3E">
      <w:pPr>
        <w:pStyle w:val="TOC2"/>
        <w:tabs>
          <w:tab w:val="right" w:leader="dot" w:pos="10240"/>
        </w:tabs>
        <w:rPr>
          <w:rFonts w:ascii="Calibri" w:hAnsi="Calibri"/>
          <w:sz w:val="22"/>
        </w:rPr>
      </w:pPr>
      <w:hyperlink w:anchor="_Toc256000281" w:history="1">
        <w:r>
          <w:rPr>
            <w:rStyle w:val="Hyperlink"/>
          </w:rPr>
          <w:t>3.2. JTF: allocation in the programme and transfers (1)</w:t>
        </w:r>
        <w:r w:rsidR="00000000">
          <w:tab/>
        </w:r>
        <w:r w:rsidR="00000000">
          <w:fldChar w:fldCharType="begin"/>
        </w:r>
        <w:r w:rsidR="00000000">
          <w:instrText xml:space="preserve"> PAGEREF _Toc256000281 \h </w:instrText>
        </w:r>
        <w:r w:rsidR="00000000">
          <w:fldChar w:fldCharType="separate"/>
        </w:r>
        <w:r w:rsidR="00000000">
          <w:t>65</w:t>
        </w:r>
        <w:r w:rsidR="00000000">
          <w:fldChar w:fldCharType="end"/>
        </w:r>
      </w:hyperlink>
    </w:p>
    <w:p w14:paraId="3369C808" w14:textId="77777777" w:rsidR="00B82D50" w:rsidRDefault="00A77B3E">
      <w:pPr>
        <w:pStyle w:val="TOC2"/>
        <w:tabs>
          <w:tab w:val="right" w:leader="dot" w:pos="10240"/>
        </w:tabs>
        <w:rPr>
          <w:rFonts w:ascii="Calibri" w:hAnsi="Calibri"/>
          <w:sz w:val="22"/>
        </w:rPr>
      </w:pPr>
      <w:hyperlink w:anchor="_Toc256000282" w:history="1">
        <w:r>
          <w:rPr>
            <w:rStyle w:val="Hyperlink"/>
            <w:rFonts w:ascii="TimesNewRoman" w:eastAsia="TimesNewRoman" w:hAnsi="TimesNewRoman" w:cs="TimesNewRoman"/>
          </w:rPr>
          <w:t>3.3. Transfers between categories of region resulting from the mid-term review</w:t>
        </w:r>
        <w:r w:rsidR="00000000">
          <w:tab/>
        </w:r>
        <w:r w:rsidR="00000000">
          <w:fldChar w:fldCharType="begin"/>
        </w:r>
        <w:r w:rsidR="00000000">
          <w:instrText xml:space="preserve"> PAGEREF _Toc256000282 \h </w:instrText>
        </w:r>
        <w:r w:rsidR="00000000">
          <w:fldChar w:fldCharType="separate"/>
        </w:r>
        <w:r w:rsidR="00000000">
          <w:t>65</w:t>
        </w:r>
        <w:r w:rsidR="00000000">
          <w:fldChar w:fldCharType="end"/>
        </w:r>
      </w:hyperlink>
    </w:p>
    <w:p w14:paraId="7C2BB2DE" w14:textId="77777777" w:rsidR="00B82D50" w:rsidRDefault="00A77B3E">
      <w:pPr>
        <w:pStyle w:val="TOC4"/>
        <w:tabs>
          <w:tab w:val="right" w:leader="dot" w:pos="10240"/>
        </w:tabs>
        <w:rPr>
          <w:rFonts w:ascii="Calibri" w:hAnsi="Calibri"/>
          <w:sz w:val="22"/>
        </w:rPr>
      </w:pPr>
      <w:hyperlink w:anchor="_Toc256000283" w:history="1">
        <w:r>
          <w:rPr>
            <w:rStyle w:val="Hyperlink"/>
            <w:rFonts w:ascii="TimesNewRoman" w:eastAsia="TimesNewRoman" w:hAnsi="TimesNewRoman" w:cs="TimesNewRoman"/>
          </w:rPr>
          <w:t>Table 19A: Transfers between categories of region resulting from the mid-term review within the programme (breakdown by year)</w:t>
        </w:r>
        <w:r w:rsidR="00000000">
          <w:tab/>
        </w:r>
        <w:r w:rsidR="00000000">
          <w:fldChar w:fldCharType="begin"/>
        </w:r>
        <w:r w:rsidR="00000000">
          <w:instrText xml:space="preserve"> PAGEREF _Toc256000283 \h </w:instrText>
        </w:r>
        <w:r w:rsidR="00000000">
          <w:fldChar w:fldCharType="separate"/>
        </w:r>
        <w:r w:rsidR="00000000">
          <w:t>65</w:t>
        </w:r>
        <w:r w:rsidR="00000000">
          <w:fldChar w:fldCharType="end"/>
        </w:r>
      </w:hyperlink>
    </w:p>
    <w:p w14:paraId="3379F84B" w14:textId="77777777" w:rsidR="00B82D50" w:rsidRDefault="00A77B3E">
      <w:pPr>
        <w:pStyle w:val="TOC4"/>
        <w:tabs>
          <w:tab w:val="right" w:leader="dot" w:pos="10240"/>
        </w:tabs>
        <w:rPr>
          <w:rFonts w:ascii="Calibri" w:hAnsi="Calibri"/>
          <w:sz w:val="22"/>
        </w:rPr>
      </w:pPr>
      <w:hyperlink w:anchor="_Toc256000284" w:history="1">
        <w:r>
          <w:rPr>
            <w:rStyle w:val="Hyperlink"/>
            <w:rFonts w:ascii="TimesNewRoman" w:eastAsia="TimesNewRoman" w:hAnsi="TimesNewRoman" w:cs="TimesNewRoman"/>
          </w:rPr>
          <w:t>Table 19B: Transfers between categories of region resulting from the mid-term review, to other programmes (breakdown by year)</w:t>
        </w:r>
        <w:r w:rsidR="00000000">
          <w:tab/>
        </w:r>
        <w:r w:rsidR="00000000">
          <w:fldChar w:fldCharType="begin"/>
        </w:r>
        <w:r w:rsidR="00000000">
          <w:instrText xml:space="preserve"> PAGEREF _Toc256000284 \h </w:instrText>
        </w:r>
        <w:r w:rsidR="00000000">
          <w:fldChar w:fldCharType="separate"/>
        </w:r>
        <w:r w:rsidR="00000000">
          <w:t>65</w:t>
        </w:r>
        <w:r w:rsidR="00000000">
          <w:fldChar w:fldCharType="end"/>
        </w:r>
      </w:hyperlink>
    </w:p>
    <w:p w14:paraId="693722A5" w14:textId="77777777" w:rsidR="00B82D50" w:rsidRDefault="00A77B3E">
      <w:pPr>
        <w:pStyle w:val="TOC2"/>
        <w:tabs>
          <w:tab w:val="right" w:leader="dot" w:pos="10240"/>
        </w:tabs>
        <w:rPr>
          <w:rFonts w:ascii="Calibri" w:hAnsi="Calibri"/>
          <w:sz w:val="22"/>
        </w:rPr>
      </w:pPr>
      <w:hyperlink w:anchor="_Toc256000285" w:history="1">
        <w:r>
          <w:rPr>
            <w:rStyle w:val="Hyperlink"/>
            <w:rFonts w:ascii="TimesNewRoman" w:eastAsia="TimesNewRoman" w:hAnsi="TimesNewRoman" w:cs="TimesNewRoman"/>
          </w:rPr>
          <w:t>3.4. Transfers back (1)</w:t>
        </w:r>
        <w:r w:rsidR="00000000">
          <w:tab/>
        </w:r>
        <w:r w:rsidR="00000000">
          <w:fldChar w:fldCharType="begin"/>
        </w:r>
        <w:r w:rsidR="00000000">
          <w:instrText xml:space="preserve"> PAGEREF _Toc256000285 \h </w:instrText>
        </w:r>
        <w:r w:rsidR="00000000">
          <w:fldChar w:fldCharType="separate"/>
        </w:r>
        <w:r w:rsidR="00000000">
          <w:t>65</w:t>
        </w:r>
        <w:r w:rsidR="00000000">
          <w:fldChar w:fldCharType="end"/>
        </w:r>
      </w:hyperlink>
    </w:p>
    <w:p w14:paraId="03390623" w14:textId="77777777" w:rsidR="00B82D50" w:rsidRDefault="00A77B3E">
      <w:pPr>
        <w:pStyle w:val="TOC4"/>
        <w:tabs>
          <w:tab w:val="right" w:leader="dot" w:pos="10240"/>
        </w:tabs>
        <w:rPr>
          <w:rFonts w:ascii="Calibri" w:hAnsi="Calibri"/>
          <w:sz w:val="22"/>
        </w:rPr>
      </w:pPr>
      <w:hyperlink w:anchor="_Toc256000286" w:history="1">
        <w:r>
          <w:rPr>
            <w:rStyle w:val="Hyperlink"/>
            <w:rFonts w:ascii="TimesNewRoman" w:eastAsia="TimesNewRoman" w:hAnsi="TimesNewRoman" w:cs="TimesNewRoman"/>
          </w:rPr>
          <w:t>Table 20A: Transfers back (breakdown by year)</w:t>
        </w:r>
        <w:r w:rsidR="00000000">
          <w:tab/>
        </w:r>
        <w:r w:rsidR="00000000">
          <w:fldChar w:fldCharType="begin"/>
        </w:r>
        <w:r w:rsidR="00000000">
          <w:instrText xml:space="preserve"> PAGEREF _Toc256000286 \h </w:instrText>
        </w:r>
        <w:r w:rsidR="00000000">
          <w:fldChar w:fldCharType="separate"/>
        </w:r>
        <w:r w:rsidR="00000000">
          <w:t>65</w:t>
        </w:r>
        <w:r w:rsidR="00000000">
          <w:fldChar w:fldCharType="end"/>
        </w:r>
      </w:hyperlink>
    </w:p>
    <w:p w14:paraId="3DAD194C" w14:textId="77777777" w:rsidR="00B82D50" w:rsidRDefault="00A77B3E">
      <w:pPr>
        <w:pStyle w:val="TOC4"/>
        <w:tabs>
          <w:tab w:val="right" w:leader="dot" w:pos="10240"/>
        </w:tabs>
        <w:rPr>
          <w:rFonts w:ascii="Calibri" w:hAnsi="Calibri"/>
          <w:sz w:val="22"/>
        </w:rPr>
      </w:pPr>
      <w:hyperlink w:anchor="_Toc256000287" w:history="1">
        <w:r>
          <w:rPr>
            <w:rStyle w:val="Hyperlink"/>
          </w:rPr>
          <w:t>Table 20B: Transfers back* (summary)</w:t>
        </w:r>
        <w:r w:rsidR="00000000">
          <w:tab/>
        </w:r>
        <w:r w:rsidR="00000000">
          <w:fldChar w:fldCharType="begin"/>
        </w:r>
        <w:r w:rsidR="00000000">
          <w:instrText xml:space="preserve"> PAGEREF _Toc256000287 \h </w:instrText>
        </w:r>
        <w:r w:rsidR="00000000">
          <w:fldChar w:fldCharType="separate"/>
        </w:r>
        <w:r w:rsidR="00000000">
          <w:t>66</w:t>
        </w:r>
        <w:r w:rsidR="00000000">
          <w:fldChar w:fldCharType="end"/>
        </w:r>
      </w:hyperlink>
    </w:p>
    <w:p w14:paraId="34B05560" w14:textId="77777777" w:rsidR="00B82D50" w:rsidRDefault="00A77B3E">
      <w:pPr>
        <w:pStyle w:val="TOC2"/>
        <w:tabs>
          <w:tab w:val="right" w:leader="dot" w:pos="10240"/>
        </w:tabs>
        <w:rPr>
          <w:rFonts w:ascii="Calibri" w:hAnsi="Calibri"/>
          <w:sz w:val="22"/>
        </w:rPr>
      </w:pPr>
      <w:hyperlink w:anchor="_Toc256000288" w:history="1">
        <w:r>
          <w:rPr>
            <w:rStyle w:val="Hyperlink"/>
            <w:rFonts w:ascii="TimesNewRoman" w:eastAsia="TimesNewRoman" w:hAnsi="TimesNewRoman" w:cs="TimesNewRoman"/>
          </w:rPr>
          <w:t>3.5. Financial appropriations by year</w:t>
        </w:r>
        <w:r w:rsidR="00000000">
          <w:tab/>
        </w:r>
        <w:r w:rsidR="00000000">
          <w:fldChar w:fldCharType="begin"/>
        </w:r>
        <w:r w:rsidR="00000000">
          <w:instrText xml:space="preserve"> PAGEREF _Toc256000288 \h </w:instrText>
        </w:r>
        <w:r w:rsidR="00000000">
          <w:fldChar w:fldCharType="separate"/>
        </w:r>
        <w:r w:rsidR="00000000">
          <w:t>67</w:t>
        </w:r>
        <w:r w:rsidR="00000000">
          <w:fldChar w:fldCharType="end"/>
        </w:r>
      </w:hyperlink>
    </w:p>
    <w:p w14:paraId="6BC80968" w14:textId="77777777" w:rsidR="00B82D50" w:rsidRDefault="00A77B3E">
      <w:pPr>
        <w:pStyle w:val="TOC4"/>
        <w:tabs>
          <w:tab w:val="right" w:leader="dot" w:pos="10240"/>
        </w:tabs>
        <w:rPr>
          <w:rFonts w:ascii="Calibri" w:hAnsi="Calibri"/>
          <w:sz w:val="22"/>
        </w:rPr>
      </w:pPr>
      <w:hyperlink w:anchor="_Toc256000289" w:history="1">
        <w:r>
          <w:rPr>
            <w:rStyle w:val="Hyperlink"/>
            <w:rFonts w:ascii="TimesNewRoman" w:eastAsia="TimesNewRoman" w:hAnsi="TimesNewRoman" w:cs="TimesNewRoman"/>
          </w:rPr>
          <w:t>Table 10: Financial appropriations by year</w:t>
        </w:r>
        <w:r w:rsidR="00000000">
          <w:tab/>
        </w:r>
        <w:r w:rsidR="00000000">
          <w:fldChar w:fldCharType="begin"/>
        </w:r>
        <w:r w:rsidR="00000000">
          <w:instrText xml:space="preserve"> PAGEREF _Toc256000289 \h </w:instrText>
        </w:r>
        <w:r w:rsidR="00000000">
          <w:fldChar w:fldCharType="separate"/>
        </w:r>
        <w:r w:rsidR="00000000">
          <w:t>67</w:t>
        </w:r>
        <w:r w:rsidR="00000000">
          <w:fldChar w:fldCharType="end"/>
        </w:r>
      </w:hyperlink>
    </w:p>
    <w:p w14:paraId="741DCA32" w14:textId="77777777" w:rsidR="00B82D50" w:rsidRDefault="00A77B3E">
      <w:pPr>
        <w:pStyle w:val="TOC2"/>
        <w:tabs>
          <w:tab w:val="right" w:leader="dot" w:pos="10240"/>
        </w:tabs>
        <w:rPr>
          <w:rFonts w:ascii="Calibri" w:hAnsi="Calibri"/>
          <w:sz w:val="22"/>
        </w:rPr>
      </w:pPr>
      <w:hyperlink w:anchor="_Toc256000290" w:history="1">
        <w:r>
          <w:rPr>
            <w:rStyle w:val="Hyperlink"/>
            <w:rFonts w:ascii="TimesNewRoman" w:eastAsia="TimesNewRoman" w:hAnsi="TimesNewRoman" w:cs="TimesNewRoman"/>
          </w:rPr>
          <w:t>3.6. Total financial appropriations by fund and national co-financing</w:t>
        </w:r>
        <w:r w:rsidR="00000000">
          <w:tab/>
        </w:r>
        <w:r w:rsidR="00000000">
          <w:fldChar w:fldCharType="begin"/>
        </w:r>
        <w:r w:rsidR="00000000">
          <w:instrText xml:space="preserve"> PAGEREF _Toc256000290 \h </w:instrText>
        </w:r>
        <w:r w:rsidR="00000000">
          <w:fldChar w:fldCharType="separate"/>
        </w:r>
        <w:r w:rsidR="00000000">
          <w:t>68</w:t>
        </w:r>
        <w:r w:rsidR="00000000">
          <w:fldChar w:fldCharType="end"/>
        </w:r>
      </w:hyperlink>
    </w:p>
    <w:p w14:paraId="35E2E443" w14:textId="77777777" w:rsidR="00B82D50" w:rsidRDefault="00A77B3E">
      <w:pPr>
        <w:pStyle w:val="TOC4"/>
        <w:tabs>
          <w:tab w:val="right" w:leader="dot" w:pos="10240"/>
        </w:tabs>
        <w:rPr>
          <w:rFonts w:ascii="Calibri" w:hAnsi="Calibri"/>
          <w:sz w:val="22"/>
        </w:rPr>
      </w:pPr>
      <w:hyperlink w:anchor="_Toc256000291" w:history="1">
        <w:r>
          <w:rPr>
            <w:rStyle w:val="Hyperlink"/>
            <w:rFonts w:ascii="TimesNewRoman" w:eastAsia="TimesNewRoman" w:hAnsi="TimesNewRoman" w:cs="TimesNewRoman"/>
          </w:rPr>
          <w:t>Table 11: Total financial allocations by fund and national contribution</w:t>
        </w:r>
        <w:r w:rsidR="00000000">
          <w:tab/>
        </w:r>
        <w:r w:rsidR="00000000">
          <w:fldChar w:fldCharType="begin"/>
        </w:r>
        <w:r w:rsidR="00000000">
          <w:instrText xml:space="preserve"> PAGEREF _Toc256000291 \h </w:instrText>
        </w:r>
        <w:r w:rsidR="00000000">
          <w:fldChar w:fldCharType="separate"/>
        </w:r>
        <w:r w:rsidR="00000000">
          <w:t>68</w:t>
        </w:r>
        <w:r w:rsidR="00000000">
          <w:fldChar w:fldCharType="end"/>
        </w:r>
      </w:hyperlink>
    </w:p>
    <w:p w14:paraId="5C5BC12B" w14:textId="77777777" w:rsidR="00B82D50" w:rsidRDefault="00A77B3E">
      <w:pPr>
        <w:pStyle w:val="TOC1"/>
        <w:tabs>
          <w:tab w:val="right" w:leader="dot" w:pos="10240"/>
        </w:tabs>
        <w:rPr>
          <w:rFonts w:ascii="Calibri" w:hAnsi="Calibri"/>
          <w:sz w:val="22"/>
        </w:rPr>
      </w:pPr>
      <w:hyperlink w:anchor="_Toc256000292" w:history="1">
        <w:r>
          <w:rPr>
            <w:rStyle w:val="Hyperlink"/>
          </w:rPr>
          <w:t>4. Enabling conditions</w:t>
        </w:r>
        <w:r w:rsidR="00000000">
          <w:tab/>
        </w:r>
        <w:r w:rsidR="00000000">
          <w:fldChar w:fldCharType="begin"/>
        </w:r>
        <w:r w:rsidR="00000000">
          <w:instrText xml:space="preserve"> PAGEREF _Toc256000292 \h </w:instrText>
        </w:r>
        <w:r w:rsidR="00000000">
          <w:fldChar w:fldCharType="separate"/>
        </w:r>
        <w:r w:rsidR="00000000">
          <w:t>69</w:t>
        </w:r>
        <w:r w:rsidR="00000000">
          <w:fldChar w:fldCharType="end"/>
        </w:r>
      </w:hyperlink>
    </w:p>
    <w:p w14:paraId="470E7EDD" w14:textId="77777777" w:rsidR="00B82D50" w:rsidRDefault="00A77B3E">
      <w:pPr>
        <w:pStyle w:val="TOC1"/>
        <w:tabs>
          <w:tab w:val="right" w:leader="dot" w:pos="10240"/>
        </w:tabs>
        <w:rPr>
          <w:rFonts w:ascii="Calibri" w:hAnsi="Calibri"/>
          <w:sz w:val="22"/>
        </w:rPr>
      </w:pPr>
      <w:hyperlink w:anchor="_Toc256000293" w:history="1">
        <w:r>
          <w:rPr>
            <w:rStyle w:val="Hyperlink"/>
          </w:rPr>
          <w:t>5. Programme authorities</w:t>
        </w:r>
        <w:r w:rsidR="00000000">
          <w:tab/>
        </w:r>
        <w:r w:rsidR="00000000">
          <w:fldChar w:fldCharType="begin"/>
        </w:r>
        <w:r w:rsidR="00000000">
          <w:instrText xml:space="preserve"> PAGEREF _Toc256000293 \h </w:instrText>
        </w:r>
        <w:r w:rsidR="00000000">
          <w:fldChar w:fldCharType="separate"/>
        </w:r>
        <w:r w:rsidR="00000000">
          <w:t>88</w:t>
        </w:r>
        <w:r w:rsidR="00000000">
          <w:fldChar w:fldCharType="end"/>
        </w:r>
      </w:hyperlink>
    </w:p>
    <w:p w14:paraId="1225C1E0" w14:textId="77777777" w:rsidR="00B82D50" w:rsidRDefault="00A77B3E">
      <w:pPr>
        <w:pStyle w:val="TOC2"/>
        <w:tabs>
          <w:tab w:val="right" w:leader="dot" w:pos="10240"/>
        </w:tabs>
        <w:rPr>
          <w:rFonts w:ascii="Calibri" w:hAnsi="Calibri"/>
          <w:sz w:val="22"/>
        </w:rPr>
      </w:pPr>
      <w:hyperlink w:anchor="_Toc256000294" w:history="1">
        <w:r>
          <w:rPr>
            <w:rStyle w:val="Hyperlink"/>
            <w:rFonts w:ascii="TimesNewRoman" w:eastAsia="TimesNewRoman" w:hAnsi="TimesNewRoman" w:cs="TimesNewRoman"/>
          </w:rPr>
          <w:t>Table 13: Programme authorities</w:t>
        </w:r>
        <w:r w:rsidR="00000000">
          <w:tab/>
        </w:r>
        <w:r w:rsidR="00000000">
          <w:fldChar w:fldCharType="begin"/>
        </w:r>
        <w:r w:rsidR="00000000">
          <w:instrText xml:space="preserve"> PAGEREF _Toc256000294 \h </w:instrText>
        </w:r>
        <w:r w:rsidR="00000000">
          <w:fldChar w:fldCharType="separate"/>
        </w:r>
        <w:r w:rsidR="00000000">
          <w:t>88</w:t>
        </w:r>
        <w:r w:rsidR="00000000">
          <w:fldChar w:fldCharType="end"/>
        </w:r>
      </w:hyperlink>
    </w:p>
    <w:p w14:paraId="4D8B5CD4" w14:textId="77777777" w:rsidR="00B82D50" w:rsidRDefault="00A77B3E">
      <w:pPr>
        <w:pStyle w:val="TOC2"/>
        <w:tabs>
          <w:tab w:val="right" w:leader="dot" w:pos="10240"/>
        </w:tabs>
        <w:rPr>
          <w:rFonts w:ascii="Calibri" w:hAnsi="Calibri"/>
          <w:sz w:val="22"/>
        </w:rPr>
      </w:pPr>
      <w:hyperlink w:anchor="_Toc256000295" w:history="1">
        <w:r>
          <w:rPr>
            <w:rStyle w:val="Hyperlink"/>
            <w:rFonts w:ascii="TimesNewRoman" w:eastAsia="TimesNewRoman" w:hAnsi="TimesNewRoman" w:cs="TimesNewRoman"/>
          </w:rPr>
          <w:t>The repartition of the reimbursed amounts for technical assistance pursuant to Article 36(5) CPR if more bodies are identified to receive payments from the Commission</w:t>
        </w:r>
        <w:r w:rsidR="00000000">
          <w:tab/>
        </w:r>
        <w:r w:rsidR="00000000">
          <w:fldChar w:fldCharType="begin"/>
        </w:r>
        <w:r w:rsidR="00000000">
          <w:instrText xml:space="preserve"> PAGEREF _Toc256000295 \h </w:instrText>
        </w:r>
        <w:r w:rsidR="00000000">
          <w:fldChar w:fldCharType="separate"/>
        </w:r>
        <w:r w:rsidR="00000000">
          <w:t>88</w:t>
        </w:r>
        <w:r w:rsidR="00000000">
          <w:fldChar w:fldCharType="end"/>
        </w:r>
      </w:hyperlink>
    </w:p>
    <w:p w14:paraId="76752287" w14:textId="77777777" w:rsidR="00B82D50" w:rsidRDefault="00A77B3E">
      <w:pPr>
        <w:pStyle w:val="TOC1"/>
        <w:tabs>
          <w:tab w:val="right" w:leader="dot" w:pos="10240"/>
        </w:tabs>
        <w:rPr>
          <w:rFonts w:ascii="Calibri" w:hAnsi="Calibri"/>
          <w:sz w:val="22"/>
        </w:rPr>
      </w:pPr>
      <w:hyperlink w:anchor="_Toc256000296" w:history="1">
        <w:r>
          <w:rPr>
            <w:rStyle w:val="Hyperlink"/>
            <w:rFonts w:ascii="TimesNewRoman" w:eastAsia="TimesNewRoman" w:hAnsi="TimesNewRoman" w:cs="TimesNewRoman"/>
          </w:rPr>
          <w:t>6. Partnership</w:t>
        </w:r>
        <w:r w:rsidR="00000000">
          <w:tab/>
        </w:r>
        <w:r w:rsidR="00000000">
          <w:fldChar w:fldCharType="begin"/>
        </w:r>
        <w:r w:rsidR="00000000">
          <w:instrText xml:space="preserve"> PAGEREF _Toc256000296 \h </w:instrText>
        </w:r>
        <w:r w:rsidR="00000000">
          <w:fldChar w:fldCharType="separate"/>
        </w:r>
        <w:r w:rsidR="00000000">
          <w:t>89</w:t>
        </w:r>
        <w:r w:rsidR="00000000">
          <w:fldChar w:fldCharType="end"/>
        </w:r>
      </w:hyperlink>
    </w:p>
    <w:p w14:paraId="06BA9C5E" w14:textId="77777777" w:rsidR="00B82D50" w:rsidRDefault="00A77B3E">
      <w:pPr>
        <w:pStyle w:val="TOC1"/>
        <w:tabs>
          <w:tab w:val="right" w:leader="dot" w:pos="10240"/>
        </w:tabs>
        <w:rPr>
          <w:rFonts w:ascii="Calibri" w:hAnsi="Calibri"/>
          <w:sz w:val="22"/>
        </w:rPr>
      </w:pPr>
      <w:hyperlink w:anchor="_Toc256000297" w:history="1">
        <w:r>
          <w:rPr>
            <w:rStyle w:val="Hyperlink"/>
            <w:rFonts w:ascii="TimesNewRoman" w:eastAsia="TimesNewRoman" w:hAnsi="TimesNewRoman" w:cs="TimesNewRoman"/>
          </w:rPr>
          <w:t>7. Communication and visibility</w:t>
        </w:r>
        <w:r w:rsidR="00000000">
          <w:tab/>
        </w:r>
        <w:r w:rsidR="00000000">
          <w:fldChar w:fldCharType="begin"/>
        </w:r>
        <w:r w:rsidR="00000000">
          <w:instrText xml:space="preserve"> PAGEREF _Toc256000297 \h </w:instrText>
        </w:r>
        <w:r w:rsidR="00000000">
          <w:fldChar w:fldCharType="separate"/>
        </w:r>
        <w:r w:rsidR="00000000">
          <w:t>93</w:t>
        </w:r>
        <w:r w:rsidR="00000000">
          <w:fldChar w:fldCharType="end"/>
        </w:r>
      </w:hyperlink>
    </w:p>
    <w:p w14:paraId="400D776C" w14:textId="77777777" w:rsidR="00B82D50" w:rsidRDefault="00A77B3E">
      <w:pPr>
        <w:pStyle w:val="TOC1"/>
        <w:tabs>
          <w:tab w:val="right" w:leader="dot" w:pos="10240"/>
        </w:tabs>
        <w:rPr>
          <w:rFonts w:ascii="Calibri" w:hAnsi="Calibri"/>
          <w:sz w:val="22"/>
        </w:rPr>
      </w:pPr>
      <w:hyperlink w:anchor="_Toc256000298" w:history="1">
        <w:r>
          <w:rPr>
            <w:rStyle w:val="Hyperlink"/>
            <w:rFonts w:ascii="TimesNewRoman" w:eastAsia="TimesNewRoman" w:hAnsi="TimesNewRoman" w:cs="TimesNewRoman"/>
          </w:rPr>
          <w:t>8. Use of unit costs, lump sums, flat rates and financing not linked to costs</w:t>
        </w:r>
        <w:r w:rsidR="00000000">
          <w:tab/>
        </w:r>
        <w:r w:rsidR="00000000">
          <w:fldChar w:fldCharType="begin"/>
        </w:r>
        <w:r w:rsidR="00000000">
          <w:instrText xml:space="preserve"> PAGEREF _Toc256000298 \h </w:instrText>
        </w:r>
        <w:r w:rsidR="00000000">
          <w:fldChar w:fldCharType="separate"/>
        </w:r>
        <w:r w:rsidR="00000000">
          <w:t>96</w:t>
        </w:r>
        <w:r w:rsidR="00000000">
          <w:fldChar w:fldCharType="end"/>
        </w:r>
      </w:hyperlink>
    </w:p>
    <w:p w14:paraId="5FAB49B1" w14:textId="77777777" w:rsidR="00B82D50" w:rsidRDefault="00A77B3E">
      <w:pPr>
        <w:pStyle w:val="TOC2"/>
        <w:tabs>
          <w:tab w:val="right" w:leader="dot" w:pos="10240"/>
        </w:tabs>
        <w:rPr>
          <w:rFonts w:ascii="Calibri" w:hAnsi="Calibri"/>
          <w:sz w:val="22"/>
        </w:rPr>
      </w:pPr>
      <w:hyperlink w:anchor="_Toc256000299" w:history="1">
        <w:r>
          <w:rPr>
            <w:rStyle w:val="Hyperlink"/>
            <w:rFonts w:ascii="TimesNewRoman" w:eastAsia="TimesNewRoman" w:hAnsi="TimesNewRoman" w:cs="TimesNewRoman"/>
          </w:rPr>
          <w:t>Table 14: Use of unit costs, lump sums, flat rates and financing not linked to costs</w:t>
        </w:r>
        <w:r w:rsidR="00000000">
          <w:tab/>
        </w:r>
        <w:r w:rsidR="00000000">
          <w:fldChar w:fldCharType="begin"/>
        </w:r>
        <w:r w:rsidR="00000000">
          <w:instrText xml:space="preserve"> PAGEREF _Toc256000299 \h </w:instrText>
        </w:r>
        <w:r w:rsidR="00000000">
          <w:fldChar w:fldCharType="separate"/>
        </w:r>
        <w:r w:rsidR="00000000">
          <w:t>96</w:t>
        </w:r>
        <w:r w:rsidR="00000000">
          <w:fldChar w:fldCharType="end"/>
        </w:r>
      </w:hyperlink>
    </w:p>
    <w:p w14:paraId="4936F4E0" w14:textId="77777777" w:rsidR="00B82D50" w:rsidRDefault="00A77B3E">
      <w:pPr>
        <w:pStyle w:val="TOC1"/>
        <w:tabs>
          <w:tab w:val="right" w:leader="dot" w:pos="10240"/>
        </w:tabs>
        <w:rPr>
          <w:rFonts w:ascii="Calibri" w:hAnsi="Calibri"/>
          <w:sz w:val="22"/>
        </w:rPr>
      </w:pPr>
      <w:hyperlink w:anchor="_Toc256000300" w:history="1">
        <w:r>
          <w:rPr>
            <w:rStyle w:val="Hyperlink"/>
            <w:rFonts w:ascii="TimesNewRoman" w:eastAsia="TimesNewRoman" w:hAnsi="TimesNewRoman" w:cs="TimesNewRoman"/>
          </w:rPr>
          <w:t>Appendix 1: Union contribution based on unit costs, lump sums and flat rates</w:t>
        </w:r>
        <w:r w:rsidR="00000000">
          <w:tab/>
        </w:r>
        <w:r w:rsidR="00000000">
          <w:fldChar w:fldCharType="begin"/>
        </w:r>
        <w:r w:rsidR="00000000">
          <w:instrText xml:space="preserve"> PAGEREF _Toc256000300 \h </w:instrText>
        </w:r>
        <w:r w:rsidR="00000000">
          <w:fldChar w:fldCharType="separate"/>
        </w:r>
        <w:r w:rsidR="00000000">
          <w:t>97</w:t>
        </w:r>
        <w:r w:rsidR="00000000">
          <w:fldChar w:fldCharType="end"/>
        </w:r>
      </w:hyperlink>
    </w:p>
    <w:p w14:paraId="5C5D0C97" w14:textId="77777777" w:rsidR="00B82D50" w:rsidRDefault="00A77B3E">
      <w:pPr>
        <w:pStyle w:val="TOC2"/>
        <w:tabs>
          <w:tab w:val="right" w:leader="dot" w:pos="10240"/>
        </w:tabs>
        <w:rPr>
          <w:rFonts w:ascii="Calibri" w:hAnsi="Calibri"/>
          <w:sz w:val="22"/>
        </w:rPr>
      </w:pPr>
      <w:hyperlink w:anchor="_Toc256000301" w:history="1">
        <w:r>
          <w:rPr>
            <w:rStyle w:val="Hyperlink"/>
            <w:rFonts w:ascii="TimesNewRoman" w:eastAsia="TimesNewRoman" w:hAnsi="TimesNewRoman" w:cs="TimesNewRoman"/>
          </w:rPr>
          <w:t>A. Summary of the main elements</w:t>
        </w:r>
        <w:r w:rsidR="00000000">
          <w:tab/>
        </w:r>
        <w:r w:rsidR="00000000">
          <w:fldChar w:fldCharType="begin"/>
        </w:r>
        <w:r w:rsidR="00000000">
          <w:instrText xml:space="preserve"> PAGEREF _Toc256000301 \h </w:instrText>
        </w:r>
        <w:r w:rsidR="00000000">
          <w:fldChar w:fldCharType="separate"/>
        </w:r>
        <w:r w:rsidR="00000000">
          <w:t>97</w:t>
        </w:r>
        <w:r w:rsidR="00000000">
          <w:fldChar w:fldCharType="end"/>
        </w:r>
      </w:hyperlink>
    </w:p>
    <w:p w14:paraId="78B8E72D" w14:textId="77777777" w:rsidR="00B82D50" w:rsidRDefault="00A77B3E">
      <w:pPr>
        <w:pStyle w:val="TOC2"/>
        <w:tabs>
          <w:tab w:val="right" w:leader="dot" w:pos="10240"/>
        </w:tabs>
        <w:rPr>
          <w:rFonts w:ascii="Calibri" w:hAnsi="Calibri"/>
          <w:sz w:val="22"/>
        </w:rPr>
      </w:pPr>
      <w:hyperlink w:anchor="_Toc256000302" w:history="1">
        <w:r>
          <w:rPr>
            <w:rStyle w:val="Hyperlink"/>
            <w:rFonts w:ascii="TimesNewRoman" w:eastAsia="TimesNewRoman" w:hAnsi="TimesNewRoman" w:cs="TimesNewRoman"/>
          </w:rPr>
          <w:t>B. Details by type of operation</w:t>
        </w:r>
        <w:r w:rsidR="00000000">
          <w:tab/>
        </w:r>
        <w:r w:rsidR="00000000">
          <w:fldChar w:fldCharType="begin"/>
        </w:r>
        <w:r w:rsidR="00000000">
          <w:instrText xml:space="preserve"> PAGEREF _Toc256000302 \h </w:instrText>
        </w:r>
        <w:r w:rsidR="00000000">
          <w:fldChar w:fldCharType="separate"/>
        </w:r>
        <w:r w:rsidR="00000000">
          <w:t>98</w:t>
        </w:r>
        <w:r w:rsidR="00000000">
          <w:fldChar w:fldCharType="end"/>
        </w:r>
      </w:hyperlink>
    </w:p>
    <w:p w14:paraId="68899FE2" w14:textId="77777777" w:rsidR="00B82D50" w:rsidRDefault="00A77B3E">
      <w:pPr>
        <w:pStyle w:val="TOC2"/>
        <w:tabs>
          <w:tab w:val="right" w:leader="dot" w:pos="10240"/>
        </w:tabs>
        <w:rPr>
          <w:rFonts w:ascii="Calibri" w:hAnsi="Calibri"/>
          <w:sz w:val="22"/>
        </w:rPr>
      </w:pPr>
      <w:hyperlink w:anchor="_Toc256000303" w:history="1">
        <w:r>
          <w:rPr>
            <w:rStyle w:val="Hyperlink"/>
            <w:rFonts w:ascii="TimesNewRoman" w:eastAsia="TimesNewRoman" w:hAnsi="TimesNewRoman" w:cs="TimesNewRoman"/>
          </w:rPr>
          <w:t>C. Calculation of the standard scale of unit costs, lump sums or flat rates</w:t>
        </w:r>
        <w:r w:rsidR="00000000">
          <w:tab/>
        </w:r>
        <w:r w:rsidR="00000000">
          <w:fldChar w:fldCharType="begin"/>
        </w:r>
        <w:r w:rsidR="00000000">
          <w:instrText xml:space="preserve"> PAGEREF _Toc256000303 \h </w:instrText>
        </w:r>
        <w:r w:rsidR="00000000">
          <w:fldChar w:fldCharType="separate"/>
        </w:r>
        <w:r w:rsidR="00000000">
          <w:t>101</w:t>
        </w:r>
        <w:r w:rsidR="00000000">
          <w:fldChar w:fldCharType="end"/>
        </w:r>
      </w:hyperlink>
    </w:p>
    <w:p w14:paraId="02C788BB" w14:textId="77777777" w:rsidR="00B82D50" w:rsidRDefault="00A77B3E">
      <w:pPr>
        <w:pStyle w:val="TOC2"/>
        <w:tabs>
          <w:tab w:val="right" w:leader="dot" w:pos="10240"/>
        </w:tabs>
        <w:rPr>
          <w:rFonts w:ascii="Calibri" w:hAnsi="Calibri"/>
          <w:sz w:val="22"/>
        </w:rPr>
      </w:pPr>
      <w:hyperlink w:anchor="_Toc256000304" w:history="1">
        <w:r>
          <w:rPr>
            <w:rStyle w:val="Hyperlink"/>
            <w:rFonts w:ascii="TimesNewRoman" w:eastAsia="TimesNewRoman" w:hAnsi="TimesNewRoman" w:cs="TimesNewRoman"/>
          </w:rPr>
          <w:t>1. Source of data used to calculate the standard scale of unit costs, lump sums or flat rates (who produced, collected and recorded the data, where the data is stored, cut-off dates, validation, etc.)</w:t>
        </w:r>
        <w:r w:rsidR="00000000">
          <w:tab/>
        </w:r>
        <w:r w:rsidR="00000000">
          <w:fldChar w:fldCharType="begin"/>
        </w:r>
        <w:r w:rsidR="00000000">
          <w:instrText xml:space="preserve"> PAGEREF _Toc256000304 \h </w:instrText>
        </w:r>
        <w:r w:rsidR="00000000">
          <w:fldChar w:fldCharType="separate"/>
        </w:r>
        <w:r w:rsidR="00000000">
          <w:t>101</w:t>
        </w:r>
        <w:r w:rsidR="00000000">
          <w:fldChar w:fldCharType="end"/>
        </w:r>
      </w:hyperlink>
    </w:p>
    <w:p w14:paraId="3BD5296D" w14:textId="77777777" w:rsidR="00B82D50" w:rsidRDefault="00A77B3E">
      <w:pPr>
        <w:pStyle w:val="TOC2"/>
        <w:tabs>
          <w:tab w:val="right" w:leader="dot" w:pos="10240"/>
        </w:tabs>
        <w:rPr>
          <w:rFonts w:ascii="Calibri" w:hAnsi="Calibri"/>
          <w:sz w:val="22"/>
        </w:rPr>
      </w:pPr>
      <w:hyperlink w:anchor="_Toc256000305" w:history="1">
        <w:r>
          <w:rPr>
            <w:rStyle w:val="Hyperlink"/>
            <w:rFonts w:ascii="TimesNewRoman" w:eastAsia="TimesNewRoman" w:hAnsi="TimesNewRoman" w:cs="TimesNewRoman"/>
          </w:rPr>
          <w:t>2. Please specify why the proposed method and calculation based on Article 94(2) CPR is relevant to the type of operation.</w:t>
        </w:r>
        <w:r w:rsidR="00000000">
          <w:tab/>
        </w:r>
        <w:r w:rsidR="00000000">
          <w:fldChar w:fldCharType="begin"/>
        </w:r>
        <w:r w:rsidR="00000000">
          <w:instrText xml:space="preserve"> PAGEREF _Toc256000305 \h </w:instrText>
        </w:r>
        <w:r w:rsidR="00000000">
          <w:fldChar w:fldCharType="separate"/>
        </w:r>
        <w:r w:rsidR="00000000">
          <w:t>102</w:t>
        </w:r>
        <w:r w:rsidR="00000000">
          <w:fldChar w:fldCharType="end"/>
        </w:r>
      </w:hyperlink>
    </w:p>
    <w:p w14:paraId="7BA31CFA" w14:textId="77777777" w:rsidR="00B82D50" w:rsidRDefault="00A77B3E">
      <w:pPr>
        <w:pStyle w:val="TOC2"/>
        <w:tabs>
          <w:tab w:val="right" w:leader="dot" w:pos="10240"/>
        </w:tabs>
        <w:rPr>
          <w:rFonts w:ascii="Calibri" w:hAnsi="Calibri"/>
          <w:sz w:val="22"/>
        </w:rPr>
      </w:pPr>
      <w:hyperlink w:anchor="_Toc256000306" w:history="1">
        <w:r>
          <w:rPr>
            <w:rStyle w:val="Hyperlink"/>
            <w:rFonts w:ascii="TimesNewRoman" w:eastAsia="TimesNewRoman" w:hAnsi="TimesNewRoman" w:cs="TimesNewRoman"/>
          </w:rPr>
          <w:t>3. Please specify how the calculations were made, in particular including any assumptions made in terms of quality or quantities. Where relevant, statistical evidence and benchmarks should be used and, if requested, provided in a format that is usable by the Commission.</w:t>
        </w:r>
        <w:r w:rsidR="00000000">
          <w:tab/>
        </w:r>
        <w:r w:rsidR="00000000">
          <w:fldChar w:fldCharType="begin"/>
        </w:r>
        <w:r w:rsidR="00000000">
          <w:instrText xml:space="preserve"> PAGEREF _Toc256000306 \h </w:instrText>
        </w:r>
        <w:r w:rsidR="00000000">
          <w:fldChar w:fldCharType="separate"/>
        </w:r>
        <w:r w:rsidR="00000000">
          <w:t>102</w:t>
        </w:r>
        <w:r w:rsidR="00000000">
          <w:fldChar w:fldCharType="end"/>
        </w:r>
      </w:hyperlink>
    </w:p>
    <w:p w14:paraId="3B9BA69F" w14:textId="77777777" w:rsidR="00B82D50" w:rsidRDefault="00A77B3E">
      <w:pPr>
        <w:pStyle w:val="TOC2"/>
        <w:tabs>
          <w:tab w:val="right" w:leader="dot" w:pos="10240"/>
        </w:tabs>
        <w:rPr>
          <w:rFonts w:ascii="Calibri" w:hAnsi="Calibri"/>
          <w:sz w:val="22"/>
        </w:rPr>
      </w:pPr>
      <w:hyperlink w:anchor="_Toc256000307" w:history="1">
        <w:r>
          <w:rPr>
            <w:rStyle w:val="Hyperlink"/>
            <w:rFonts w:ascii="TimesNewRoman" w:eastAsia="TimesNewRoman" w:hAnsi="TimesNewRoman" w:cs="TimesNewRoman"/>
          </w:rPr>
          <w:t>4. Please explain how you have ensured that only eligible expenditure was included in the calculation of the standard scale of unit cost, lump sum or flat rate.</w:t>
        </w:r>
        <w:r w:rsidR="00000000">
          <w:tab/>
        </w:r>
        <w:r w:rsidR="00000000">
          <w:fldChar w:fldCharType="begin"/>
        </w:r>
        <w:r w:rsidR="00000000">
          <w:instrText xml:space="preserve"> PAGEREF _Toc256000307 \h </w:instrText>
        </w:r>
        <w:r w:rsidR="00000000">
          <w:fldChar w:fldCharType="separate"/>
        </w:r>
        <w:r w:rsidR="00000000">
          <w:t>102</w:t>
        </w:r>
        <w:r w:rsidR="00000000">
          <w:fldChar w:fldCharType="end"/>
        </w:r>
      </w:hyperlink>
    </w:p>
    <w:p w14:paraId="5D53E8B8" w14:textId="77777777" w:rsidR="00B82D50" w:rsidRDefault="00A77B3E">
      <w:pPr>
        <w:pStyle w:val="TOC2"/>
        <w:tabs>
          <w:tab w:val="right" w:leader="dot" w:pos="10240"/>
        </w:tabs>
        <w:rPr>
          <w:rFonts w:ascii="Calibri" w:hAnsi="Calibri"/>
          <w:sz w:val="22"/>
        </w:rPr>
      </w:pPr>
      <w:hyperlink w:anchor="_Toc256000308" w:history="1">
        <w:r>
          <w:rPr>
            <w:rStyle w:val="Hyperlink"/>
            <w:rFonts w:ascii="TimesNewRoman" w:eastAsia="TimesNewRoman" w:hAnsi="TimesNewRoman" w:cs="TimesNewRoman"/>
          </w:rPr>
          <w:t>5. Assessment of the audit authority(ies) of the calculation methodology and amounts and the arrangements to ensure the verification, quality, collection and storage of data.</w:t>
        </w:r>
        <w:r w:rsidR="00000000">
          <w:tab/>
        </w:r>
        <w:r w:rsidR="00000000">
          <w:fldChar w:fldCharType="begin"/>
        </w:r>
        <w:r w:rsidR="00000000">
          <w:instrText xml:space="preserve"> PAGEREF _Toc256000308 \h </w:instrText>
        </w:r>
        <w:r w:rsidR="00000000">
          <w:fldChar w:fldCharType="separate"/>
        </w:r>
        <w:r w:rsidR="00000000">
          <w:t>102</w:t>
        </w:r>
        <w:r w:rsidR="00000000">
          <w:fldChar w:fldCharType="end"/>
        </w:r>
      </w:hyperlink>
    </w:p>
    <w:p w14:paraId="7713B534" w14:textId="77777777" w:rsidR="00B82D50" w:rsidRDefault="00A77B3E">
      <w:pPr>
        <w:pStyle w:val="TOC1"/>
        <w:tabs>
          <w:tab w:val="right" w:leader="dot" w:pos="10240"/>
        </w:tabs>
        <w:rPr>
          <w:rFonts w:ascii="Calibri" w:hAnsi="Calibri"/>
          <w:sz w:val="22"/>
        </w:rPr>
      </w:pPr>
      <w:hyperlink w:anchor="_Toc256000309" w:history="1">
        <w:r>
          <w:rPr>
            <w:rStyle w:val="Hyperlink"/>
            <w:rFonts w:ascii="TimesNewRoman" w:eastAsia="TimesNewRoman" w:hAnsi="TimesNewRoman" w:cs="TimesNewRoman"/>
          </w:rPr>
          <w:t>Appendix 2: Union contribution based on financing not linked to costs</w:t>
        </w:r>
        <w:r w:rsidR="00000000">
          <w:tab/>
        </w:r>
        <w:r w:rsidR="00000000">
          <w:fldChar w:fldCharType="begin"/>
        </w:r>
        <w:r w:rsidR="00000000">
          <w:instrText xml:space="preserve"> PAGEREF _Toc256000309 \h </w:instrText>
        </w:r>
        <w:r w:rsidR="00000000">
          <w:fldChar w:fldCharType="separate"/>
        </w:r>
        <w:r w:rsidR="00000000">
          <w:t>103</w:t>
        </w:r>
        <w:r w:rsidR="00000000">
          <w:fldChar w:fldCharType="end"/>
        </w:r>
      </w:hyperlink>
    </w:p>
    <w:p w14:paraId="4A1B8E57" w14:textId="77777777" w:rsidR="00B82D50" w:rsidRDefault="00A77B3E">
      <w:pPr>
        <w:pStyle w:val="TOC2"/>
        <w:tabs>
          <w:tab w:val="right" w:leader="dot" w:pos="10240"/>
        </w:tabs>
        <w:rPr>
          <w:rFonts w:ascii="Calibri" w:hAnsi="Calibri"/>
          <w:sz w:val="22"/>
        </w:rPr>
      </w:pPr>
      <w:hyperlink w:anchor="_Toc256000310" w:history="1">
        <w:r>
          <w:rPr>
            <w:rStyle w:val="Hyperlink"/>
            <w:rFonts w:ascii="TimesNewRoman" w:eastAsia="TimesNewRoman" w:hAnsi="TimesNewRoman" w:cs="TimesNewRoman"/>
          </w:rPr>
          <w:t>A. Summary of the main elements</w:t>
        </w:r>
        <w:r w:rsidR="00000000">
          <w:tab/>
        </w:r>
        <w:r w:rsidR="00000000">
          <w:fldChar w:fldCharType="begin"/>
        </w:r>
        <w:r w:rsidR="00000000">
          <w:instrText xml:space="preserve"> PAGEREF _Toc256000310 \h </w:instrText>
        </w:r>
        <w:r w:rsidR="00000000">
          <w:fldChar w:fldCharType="separate"/>
        </w:r>
        <w:r w:rsidR="00000000">
          <w:t>103</w:t>
        </w:r>
        <w:r w:rsidR="00000000">
          <w:fldChar w:fldCharType="end"/>
        </w:r>
      </w:hyperlink>
    </w:p>
    <w:p w14:paraId="1E308297" w14:textId="77777777" w:rsidR="00B82D50" w:rsidRDefault="00A77B3E">
      <w:pPr>
        <w:pStyle w:val="TOC2"/>
        <w:tabs>
          <w:tab w:val="right" w:leader="dot" w:pos="10240"/>
        </w:tabs>
        <w:rPr>
          <w:rFonts w:ascii="Calibri" w:hAnsi="Calibri"/>
          <w:sz w:val="22"/>
        </w:rPr>
      </w:pPr>
      <w:hyperlink w:anchor="_Toc256000311" w:history="1">
        <w:r>
          <w:rPr>
            <w:rStyle w:val="Hyperlink"/>
            <w:rFonts w:ascii="TimesNewRoman" w:eastAsia="TimesNewRoman" w:hAnsi="TimesNewRoman" w:cs="TimesNewRoman"/>
          </w:rPr>
          <w:t>B. Details by type of operation</w:t>
        </w:r>
        <w:r w:rsidR="00000000">
          <w:tab/>
        </w:r>
        <w:r w:rsidR="00000000">
          <w:fldChar w:fldCharType="begin"/>
        </w:r>
        <w:r w:rsidR="00000000">
          <w:instrText xml:space="preserve"> PAGEREF _Toc256000311 \h </w:instrText>
        </w:r>
        <w:r w:rsidR="00000000">
          <w:fldChar w:fldCharType="separate"/>
        </w:r>
        <w:r w:rsidR="00000000">
          <w:t>104</w:t>
        </w:r>
        <w:r w:rsidR="00000000">
          <w:fldChar w:fldCharType="end"/>
        </w:r>
      </w:hyperlink>
    </w:p>
    <w:p w14:paraId="460E8C4F" w14:textId="77777777" w:rsidR="00B82D50" w:rsidRDefault="00A77B3E">
      <w:pPr>
        <w:pStyle w:val="TOC1"/>
        <w:tabs>
          <w:tab w:val="right" w:leader="dot" w:pos="10240"/>
        </w:tabs>
        <w:rPr>
          <w:rFonts w:ascii="Calibri" w:hAnsi="Calibri"/>
          <w:sz w:val="22"/>
        </w:rPr>
      </w:pPr>
      <w:hyperlink w:anchor="_Toc256000312" w:history="1">
        <w:r>
          <w:rPr>
            <w:rStyle w:val="Hyperlink"/>
            <w:rFonts w:ascii="TimesNewRoman" w:eastAsia="TimesNewRoman" w:hAnsi="TimesNewRoman" w:cs="TimesNewRoman"/>
          </w:rPr>
          <w:t>Appendix 3</w:t>
        </w:r>
        <w:r w:rsidR="00000000">
          <w:tab/>
        </w:r>
        <w:r w:rsidR="00000000">
          <w:fldChar w:fldCharType="begin"/>
        </w:r>
        <w:r w:rsidR="00000000">
          <w:instrText xml:space="preserve"> PAGEREF _Toc256000312 \h </w:instrText>
        </w:r>
        <w:r w:rsidR="00000000">
          <w:fldChar w:fldCharType="separate"/>
        </w:r>
        <w:r w:rsidR="00000000">
          <w:t>105</w:t>
        </w:r>
        <w:r w:rsidR="00000000">
          <w:fldChar w:fldCharType="end"/>
        </w:r>
      </w:hyperlink>
    </w:p>
    <w:p w14:paraId="3729880B" w14:textId="77777777" w:rsidR="00B82D50" w:rsidRDefault="00A77B3E">
      <w:pPr>
        <w:pStyle w:val="TOC1"/>
        <w:tabs>
          <w:tab w:val="right" w:leader="dot" w:pos="10240"/>
        </w:tabs>
        <w:rPr>
          <w:rFonts w:ascii="Calibri" w:hAnsi="Calibri"/>
          <w:sz w:val="22"/>
        </w:rPr>
      </w:pPr>
      <w:hyperlink w:anchor="_Toc256000313" w:history="1">
        <w:r>
          <w:rPr>
            <w:rStyle w:val="Hyperlink"/>
            <w:rFonts w:ascii="TimesNewRoman" w:eastAsia="TimesNewRoman" w:hAnsi="TimesNewRoman" w:cs="TimesNewRoman"/>
          </w:rPr>
          <w:t>DOCUMENTS</w:t>
        </w:r>
        <w:r w:rsidR="00000000">
          <w:tab/>
        </w:r>
        <w:r w:rsidR="00000000">
          <w:fldChar w:fldCharType="begin"/>
        </w:r>
        <w:r w:rsidR="00000000">
          <w:instrText xml:space="preserve"> PAGEREF _Toc256000313 \h </w:instrText>
        </w:r>
        <w:r w:rsidR="00000000">
          <w:fldChar w:fldCharType="separate"/>
        </w:r>
        <w:r w:rsidR="00000000">
          <w:t>106</w:t>
        </w:r>
        <w:r w:rsidR="00000000">
          <w:fldChar w:fldCharType="end"/>
        </w:r>
      </w:hyperlink>
    </w:p>
    <w:p w14:paraId="4F54E390" w14:textId="77777777" w:rsidR="00A77B3E" w:rsidRDefault="00000000">
      <w:pPr>
        <w:pStyle w:val="Heading1"/>
        <w:spacing w:before="100" w:after="0"/>
        <w:rPr>
          <w:rFonts w:ascii="Times New Roman" w:hAnsi="Times New Roman" w:cs="Times New Roman"/>
          <w:b w:val="0"/>
          <w:color w:val="000000"/>
          <w:sz w:val="24"/>
        </w:rPr>
      </w:pPr>
      <w:r>
        <w:rPr>
          <w:rFonts w:ascii="Times New Roman" w:hAnsi="Times New Roman" w:cs="Times New Roman"/>
          <w:b w:val="0"/>
          <w:color w:val="000000"/>
          <w:sz w:val="24"/>
        </w:rPr>
        <w:fldChar w:fldCharType="end"/>
      </w:r>
      <w:r>
        <w:rPr>
          <w:rFonts w:ascii="Times New Roman" w:hAnsi="Times New Roman" w:cs="Times New Roman"/>
          <w:b w:val="0"/>
          <w:color w:val="000000"/>
          <w:sz w:val="24"/>
        </w:rPr>
        <w:br w:type="page"/>
      </w:r>
      <w:bookmarkStart w:id="0" w:name="_Toc256000157"/>
      <w:r>
        <w:rPr>
          <w:rFonts w:ascii="Times New Roman" w:hAnsi="Times New Roman" w:cs="Times New Roman"/>
          <w:b w:val="0"/>
          <w:color w:val="000000"/>
          <w:sz w:val="24"/>
        </w:rPr>
        <w:lastRenderedPageBreak/>
        <w:t>1. Programme strategy: main challenges and policy responses</w:t>
      </w:r>
      <w:bookmarkEnd w:id="0"/>
    </w:p>
    <w:p w14:paraId="06AAF5CA" w14:textId="77777777" w:rsidR="00A77B3E" w:rsidRDefault="00000000">
      <w:pPr>
        <w:spacing w:before="100"/>
        <w:rPr>
          <w:color w:val="000000"/>
          <w:sz w:val="0"/>
        </w:rPr>
      </w:pPr>
      <w:r>
        <w:rPr>
          <w:color w:val="000000"/>
        </w:rPr>
        <w:t>Reference: points (a)(</w:t>
      </w:r>
      <w:proofErr w:type="spellStart"/>
      <w:r>
        <w:rPr>
          <w:color w:val="000000"/>
        </w:rPr>
        <w:t>i</w:t>
      </w:r>
      <w:proofErr w:type="spellEnd"/>
      <w:r>
        <w:rPr>
          <w:color w:val="000000"/>
        </w:rPr>
        <w:t>) to (viii) and point (a)(x) of Article 22(3) and point (b) of Article 22(3) of Regulation (EU) 2021/1060 (CPR)</w:t>
      </w:r>
    </w:p>
    <w:p w14:paraId="67A3FE2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5A02684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59173A" w14:textId="77777777" w:rsidR="00A77B3E" w:rsidRDefault="00A77B3E">
            <w:pPr>
              <w:spacing w:before="100"/>
              <w:rPr>
                <w:color w:val="000000"/>
                <w:sz w:val="0"/>
              </w:rPr>
            </w:pPr>
          </w:p>
          <w:p w14:paraId="09DCBA61" w14:textId="77777777" w:rsidR="00A77B3E" w:rsidRDefault="00000000">
            <w:pPr>
              <w:spacing w:before="100"/>
              <w:rPr>
                <w:color w:val="000000"/>
              </w:rPr>
            </w:pPr>
            <w:r>
              <w:rPr>
                <w:rStyle w:val="Strong"/>
                <w:b w:val="0"/>
                <w:color w:val="000000"/>
              </w:rPr>
              <w:t>INTRODUCTION</w:t>
            </w:r>
          </w:p>
          <w:p w14:paraId="73E6D874" w14:textId="77777777" w:rsidR="00A77B3E" w:rsidRDefault="00000000">
            <w:pPr>
              <w:spacing w:before="100"/>
              <w:rPr>
                <w:color w:val="000000"/>
              </w:rPr>
            </w:pPr>
            <w:r>
              <w:rPr>
                <w:color w:val="000000"/>
              </w:rPr>
              <w:t xml:space="preserve">The Southern, Eastern and Midland Regional Programme 2021-2027 [‘the Programme’] is an ERDF co-funded investment </w:t>
            </w:r>
            <w:proofErr w:type="spellStart"/>
            <w:r>
              <w:rPr>
                <w:color w:val="000000"/>
              </w:rPr>
              <w:t>programme</w:t>
            </w:r>
            <w:proofErr w:type="spellEnd"/>
            <w:r>
              <w:rPr>
                <w:color w:val="000000"/>
              </w:rPr>
              <w:t xml:space="preserve"> that supports balanced regional development across two of the three NUTS2 regions of Ireland, the Southern Region and the Eastern and Midland Region. The two regions comprise eighteen counties and include the four metropolitan city areas of Dublin, Cork, Waterford and Limerick-Shannon, the regional growth </w:t>
            </w:r>
            <w:proofErr w:type="spellStart"/>
            <w:r>
              <w:rPr>
                <w:color w:val="000000"/>
              </w:rPr>
              <w:t>centres</w:t>
            </w:r>
            <w:proofErr w:type="spellEnd"/>
            <w:r>
              <w:rPr>
                <w:color w:val="000000"/>
              </w:rPr>
              <w:t xml:space="preserve"> of Athlone in the Midlands and Drogheda-Dundalk-Newry on the Dublin-Belfast corridor, a network of twenty-five key towns and an extensive rural hinterland.</w:t>
            </w:r>
          </w:p>
          <w:p w14:paraId="7A0AC356" w14:textId="77777777" w:rsidR="00A77B3E" w:rsidRDefault="00A77B3E">
            <w:pPr>
              <w:spacing w:before="100"/>
              <w:rPr>
                <w:color w:val="000000"/>
              </w:rPr>
            </w:pPr>
          </w:p>
          <w:p w14:paraId="09F4BB59" w14:textId="77777777" w:rsidR="00A77B3E" w:rsidRDefault="00000000">
            <w:pPr>
              <w:spacing w:before="100"/>
              <w:rPr>
                <w:color w:val="000000"/>
              </w:rPr>
            </w:pPr>
            <w:r>
              <w:rPr>
                <w:color w:val="000000"/>
              </w:rPr>
              <w:t xml:space="preserve">This €663 million co-funded </w:t>
            </w:r>
            <w:proofErr w:type="spellStart"/>
            <w:r>
              <w:rPr>
                <w:color w:val="000000"/>
              </w:rPr>
              <w:t>programme</w:t>
            </w:r>
            <w:proofErr w:type="spellEnd"/>
            <w:r>
              <w:rPr>
                <w:color w:val="000000"/>
              </w:rPr>
              <w:t xml:space="preserve"> of investment is supported by €265 million of EU funding and €398 million of national funding provided by the Government of Ireland. The Programme assists the Government’s aim of promoting balanced regional development by supporting the implementation of the Regional Economic and Spatial Strategies in each of the two regions in the </w:t>
            </w:r>
            <w:proofErr w:type="spellStart"/>
            <w:r>
              <w:rPr>
                <w:color w:val="000000"/>
              </w:rPr>
              <w:t>programme</w:t>
            </w:r>
            <w:proofErr w:type="spellEnd"/>
            <w:r>
              <w:rPr>
                <w:color w:val="000000"/>
              </w:rPr>
              <w:t xml:space="preserve"> area and is focused on the following key strategic outcomes:</w:t>
            </w:r>
          </w:p>
          <w:p w14:paraId="0CC3F79D" w14:textId="77777777" w:rsidR="00A77B3E" w:rsidRDefault="00A77B3E">
            <w:pPr>
              <w:spacing w:before="100"/>
              <w:rPr>
                <w:color w:val="000000"/>
              </w:rPr>
            </w:pPr>
          </w:p>
          <w:p w14:paraId="54FEF0F0" w14:textId="77777777" w:rsidR="00A77B3E" w:rsidRDefault="00000000">
            <w:pPr>
              <w:numPr>
                <w:ilvl w:val="0"/>
                <w:numId w:val="1"/>
              </w:numPr>
              <w:spacing w:before="100"/>
              <w:rPr>
                <w:color w:val="000000"/>
              </w:rPr>
            </w:pPr>
            <w:r>
              <w:rPr>
                <w:rStyle w:val="Strong"/>
                <w:b w:val="0"/>
                <w:color w:val="000000"/>
              </w:rPr>
              <w:t>Developing Smarter More Competitive Regions</w:t>
            </w:r>
            <w:r>
              <w:rPr>
                <w:color w:val="000000"/>
              </w:rPr>
              <w:t xml:space="preserve"> by building RD&amp;I capacity within the public research institutions in our regions, by accelerating the translation of cutting-edge research into commercial applications at a regional level, by supporting innovation diffusion and by strengthening regional innovation ecosystems in line with Ireland's Smart </w:t>
            </w:r>
            <w:proofErr w:type="spellStart"/>
            <w:r>
              <w:rPr>
                <w:color w:val="000000"/>
              </w:rPr>
              <w:t>Specialisation</w:t>
            </w:r>
            <w:proofErr w:type="spellEnd"/>
            <w:r>
              <w:rPr>
                <w:color w:val="000000"/>
              </w:rPr>
              <w:t xml:space="preserve"> Strategy and the Regional Enterprise Plans.</w:t>
            </w:r>
          </w:p>
          <w:p w14:paraId="536E1C26" w14:textId="77777777" w:rsidR="00A77B3E" w:rsidRDefault="00000000">
            <w:pPr>
              <w:numPr>
                <w:ilvl w:val="0"/>
                <w:numId w:val="1"/>
              </w:numPr>
              <w:spacing w:before="100"/>
              <w:rPr>
                <w:color w:val="000000"/>
              </w:rPr>
            </w:pPr>
            <w:r>
              <w:rPr>
                <w:rStyle w:val="Strong"/>
                <w:b w:val="0"/>
                <w:color w:val="000000"/>
              </w:rPr>
              <w:t>Creating Greener More Energy Efficient Regions and a Just Transition</w:t>
            </w:r>
            <w:r>
              <w:rPr>
                <w:color w:val="000000"/>
              </w:rPr>
              <w:t xml:space="preserve"> by focusing on scaling up investment in actions that improve the energy efficiency of residential homes while targeting homeowners in, or at risk of, energy poverty.</w:t>
            </w:r>
          </w:p>
          <w:p w14:paraId="423ACC66" w14:textId="77777777" w:rsidR="00A77B3E" w:rsidRDefault="00000000">
            <w:pPr>
              <w:numPr>
                <w:ilvl w:val="0"/>
                <w:numId w:val="1"/>
              </w:numPr>
              <w:spacing w:before="100"/>
              <w:rPr>
                <w:color w:val="000000"/>
              </w:rPr>
            </w:pPr>
            <w:r>
              <w:rPr>
                <w:rStyle w:val="Strong"/>
                <w:b w:val="0"/>
                <w:color w:val="000000"/>
              </w:rPr>
              <w:t>Supporting Sustainable Urban Development in our Regions</w:t>
            </w:r>
            <w:r>
              <w:rPr>
                <w:color w:val="000000"/>
              </w:rPr>
              <w:t xml:space="preserve"> by taking an integrated strategic approach to the regeneration of our towns using a Town </w:t>
            </w:r>
            <w:proofErr w:type="spellStart"/>
            <w:r>
              <w:rPr>
                <w:color w:val="000000"/>
              </w:rPr>
              <w:t>Centres</w:t>
            </w:r>
            <w:proofErr w:type="spellEnd"/>
            <w:r>
              <w:rPr>
                <w:color w:val="000000"/>
              </w:rPr>
              <w:t xml:space="preserve"> First Framework.</w:t>
            </w:r>
          </w:p>
          <w:p w14:paraId="64C042CA" w14:textId="77777777" w:rsidR="00A77B3E" w:rsidRDefault="00000000">
            <w:pPr>
              <w:numPr>
                <w:ilvl w:val="0"/>
                <w:numId w:val="1"/>
              </w:numPr>
              <w:spacing w:before="100"/>
              <w:rPr>
                <w:color w:val="000000"/>
              </w:rPr>
            </w:pPr>
            <w:r>
              <w:rPr>
                <w:rStyle w:val="Strong"/>
                <w:b w:val="0"/>
                <w:color w:val="000000"/>
              </w:rPr>
              <w:t>Increasing the supply of Sustainable and Affordable Housing</w:t>
            </w:r>
            <w:r>
              <w:rPr>
                <w:color w:val="000000"/>
              </w:rPr>
              <w:t xml:space="preserve"> by focusing on the adaptive reuse of existing buildings, initially focusing on our four cities.</w:t>
            </w:r>
          </w:p>
          <w:p w14:paraId="3ECF2224" w14:textId="77777777" w:rsidR="00A77B3E" w:rsidRDefault="00000000">
            <w:pPr>
              <w:numPr>
                <w:ilvl w:val="0"/>
                <w:numId w:val="1"/>
              </w:numPr>
              <w:spacing w:before="100"/>
              <w:rPr>
                <w:color w:val="000000"/>
              </w:rPr>
            </w:pPr>
            <w:r>
              <w:rPr>
                <w:rStyle w:val="Strong"/>
                <w:b w:val="0"/>
                <w:color w:val="000000"/>
              </w:rPr>
              <w:t xml:space="preserve">Contributing to the objectives of the Strategic Technologies for Europe Platform (STEP) </w:t>
            </w:r>
            <w:r>
              <w:rPr>
                <w:color w:val="000000"/>
              </w:rPr>
              <w:t xml:space="preserve">by </w:t>
            </w:r>
            <w:proofErr w:type="spellStart"/>
            <w:r>
              <w:rPr>
                <w:color w:val="000000"/>
              </w:rPr>
              <w:t>targetting</w:t>
            </w:r>
            <w:proofErr w:type="spellEnd"/>
            <w:r>
              <w:rPr>
                <w:color w:val="000000"/>
              </w:rPr>
              <w:t xml:space="preserve"> increased investment towards the development of STEP critical technologies.</w:t>
            </w:r>
          </w:p>
          <w:p w14:paraId="2B5D81FE" w14:textId="77777777" w:rsidR="00A77B3E" w:rsidRDefault="00A77B3E">
            <w:pPr>
              <w:spacing w:before="100"/>
              <w:rPr>
                <w:color w:val="000000"/>
              </w:rPr>
            </w:pPr>
          </w:p>
          <w:p w14:paraId="3D50A89E" w14:textId="77777777" w:rsidR="00A77B3E" w:rsidRDefault="00000000">
            <w:pPr>
              <w:spacing w:before="100"/>
              <w:rPr>
                <w:color w:val="000000"/>
              </w:rPr>
            </w:pPr>
            <w:r>
              <w:rPr>
                <w:rStyle w:val="Strong"/>
                <w:b w:val="0"/>
                <w:color w:val="000000"/>
              </w:rPr>
              <w:t>PROGRAMME DEVELOPMENT</w:t>
            </w:r>
          </w:p>
          <w:p w14:paraId="5A6189D7" w14:textId="77777777" w:rsidR="00A77B3E" w:rsidRDefault="00A77B3E">
            <w:pPr>
              <w:spacing w:before="100"/>
              <w:rPr>
                <w:color w:val="000000"/>
              </w:rPr>
            </w:pPr>
          </w:p>
          <w:p w14:paraId="6AF1F224" w14:textId="77777777" w:rsidR="00A77B3E" w:rsidRDefault="00000000">
            <w:pPr>
              <w:spacing w:before="100"/>
              <w:rPr>
                <w:color w:val="000000"/>
              </w:rPr>
            </w:pPr>
            <w:r>
              <w:rPr>
                <w:color w:val="000000"/>
              </w:rPr>
              <w:t xml:space="preserve">The key challenges and future ambitions for the </w:t>
            </w:r>
            <w:proofErr w:type="spellStart"/>
            <w:r>
              <w:rPr>
                <w:color w:val="000000"/>
              </w:rPr>
              <w:t>programme</w:t>
            </w:r>
            <w:proofErr w:type="spellEnd"/>
            <w:r>
              <w:rPr>
                <w:color w:val="000000"/>
              </w:rPr>
              <w:t xml:space="preserve"> area are clearly articulated in the Regional Spatial and Economic Strategy for the Southern Region (2020) and the Regional Spatial and Economic Strategy for the Eastern and Midland Region (2019) [‘the RSES’]. The RSES are strategic plans and investment frameworks to shape the future development of Ireland’s regions to 2031 and beyond. The making of each RSES required detailed research and an extensive public and stakeholder consultation process. The RSES are informed by Project Ireland 2040 – the National Planning Framework and the National Development Plan – and by economic and other relevant policies of the government, including climate change plans and the ten-year capital investment plan.</w:t>
            </w:r>
          </w:p>
          <w:p w14:paraId="5EE344A4" w14:textId="77777777" w:rsidR="00A77B3E" w:rsidRDefault="00A77B3E">
            <w:pPr>
              <w:spacing w:before="100"/>
              <w:rPr>
                <w:color w:val="000000"/>
              </w:rPr>
            </w:pPr>
          </w:p>
          <w:p w14:paraId="4FCD2144" w14:textId="77777777" w:rsidR="00A77B3E" w:rsidRDefault="00000000">
            <w:pPr>
              <w:spacing w:before="100"/>
              <w:rPr>
                <w:color w:val="000000"/>
              </w:rPr>
            </w:pPr>
            <w:r>
              <w:rPr>
                <w:color w:val="000000"/>
              </w:rPr>
              <w:t xml:space="preserve">The Programme was designed to support the implementation of each RSES, taking into account lessons learnt from past experience, the Country Reports (CR2019, CR2020), an independent Needs Analysis for ERDF and ESF+ Funding (2020), the National Recovery and Resilience Plan (NRRP2021), the National </w:t>
            </w:r>
            <w:r>
              <w:rPr>
                <w:color w:val="000000"/>
              </w:rPr>
              <w:lastRenderedPageBreak/>
              <w:t xml:space="preserve">Development Plan Review (NDP2021), public consultations, and a wide range of national and EU reports and policy documents. There is a particular focus on aligning the Programme with other EU, national and private sector actions and investment under Ireland’s Climate Action Plan (2021), Smart </w:t>
            </w:r>
            <w:proofErr w:type="spellStart"/>
            <w:r>
              <w:rPr>
                <w:color w:val="000000"/>
              </w:rPr>
              <w:t>Specialisation</w:t>
            </w:r>
            <w:proofErr w:type="spellEnd"/>
            <w:r>
              <w:rPr>
                <w:color w:val="000000"/>
              </w:rPr>
              <w:t xml:space="preserve"> Strategy (2022), and Town Centre First – a Policy Approach for Irish Towns (2022).</w:t>
            </w:r>
          </w:p>
          <w:p w14:paraId="0B8217CE" w14:textId="77777777" w:rsidR="00A77B3E" w:rsidRDefault="00A77B3E">
            <w:pPr>
              <w:spacing w:before="100"/>
              <w:rPr>
                <w:color w:val="000000"/>
              </w:rPr>
            </w:pPr>
          </w:p>
          <w:p w14:paraId="18D7F51B" w14:textId="77777777" w:rsidR="00A77B3E" w:rsidRDefault="00000000">
            <w:pPr>
              <w:spacing w:before="100"/>
              <w:rPr>
                <w:color w:val="000000"/>
              </w:rPr>
            </w:pPr>
            <w:r>
              <w:rPr>
                <w:color w:val="000000"/>
              </w:rPr>
              <w:t>The Programme was updated in 2025; it responds to the findings and recommendations of the Mid-term Review, and to Regulation (EU) 2025/1914 as regards specific measures to address strategic challenges in the context of the mid-term review.</w:t>
            </w:r>
          </w:p>
          <w:p w14:paraId="2FE2DA49" w14:textId="77777777" w:rsidR="00A77B3E" w:rsidRDefault="00A77B3E">
            <w:pPr>
              <w:spacing w:before="100"/>
              <w:rPr>
                <w:color w:val="000000"/>
              </w:rPr>
            </w:pPr>
          </w:p>
          <w:p w14:paraId="2CDCF551" w14:textId="77777777" w:rsidR="00A77B3E" w:rsidRDefault="00000000">
            <w:pPr>
              <w:spacing w:before="100"/>
              <w:rPr>
                <w:color w:val="000000"/>
              </w:rPr>
            </w:pPr>
            <w:r>
              <w:rPr>
                <w:color w:val="000000"/>
              </w:rPr>
              <w:t>The Programme is framed by EU policy objectives, the thematic concentration and climate change contribution requirements set out in the regulations, the opportunity to complement other EU, national and regional investments and the limited amount of ERDF funding available relative to the scale of the challenges in the regions. In this respect, the Programme seeks to avoid competing with other public or private investment and focuses instead on key challenges and investment needs where ERDF can make a strong and visible impact to the benefit of the regions and their citizens.</w:t>
            </w:r>
          </w:p>
          <w:p w14:paraId="33BBF340" w14:textId="77777777" w:rsidR="00A77B3E" w:rsidRDefault="00000000">
            <w:pPr>
              <w:spacing w:before="100"/>
              <w:rPr>
                <w:color w:val="000000"/>
              </w:rPr>
            </w:pPr>
            <w:r>
              <w:rPr>
                <w:color w:val="000000"/>
              </w:rPr>
              <w:t>The Programme focuses on three selected Policy Objectives and has been structured under five priorities. Priorities 4 and 5 were introduced following the Mid-term Review in 2025.</w:t>
            </w:r>
          </w:p>
          <w:p w14:paraId="4C6FBB63" w14:textId="77777777" w:rsidR="00A77B3E" w:rsidRDefault="00A77B3E">
            <w:pPr>
              <w:spacing w:before="100"/>
              <w:rPr>
                <w:color w:val="000000"/>
              </w:rPr>
            </w:pPr>
          </w:p>
          <w:p w14:paraId="75749656" w14:textId="77777777" w:rsidR="00A77B3E" w:rsidRDefault="00000000">
            <w:pPr>
              <w:spacing w:before="100"/>
              <w:rPr>
                <w:color w:val="000000"/>
              </w:rPr>
            </w:pPr>
            <w:r>
              <w:rPr>
                <w:rStyle w:val="Strong"/>
                <w:b w:val="0"/>
                <w:color w:val="000000"/>
              </w:rPr>
              <w:t>Policy Objective 1 [‘PO1’] “a more competitive and smarter Europe by promoting innovative and smart economic transformation and regional ICT connectivity”.</w:t>
            </w:r>
          </w:p>
          <w:p w14:paraId="14B84520" w14:textId="77777777" w:rsidR="00A77B3E" w:rsidRDefault="00000000">
            <w:pPr>
              <w:spacing w:before="100"/>
              <w:rPr>
                <w:color w:val="000000"/>
              </w:rPr>
            </w:pPr>
            <w:r>
              <w:rPr>
                <w:rStyle w:val="Emphasis"/>
                <w:i w:val="0"/>
                <w:color w:val="000000"/>
              </w:rPr>
              <w:t>Priority 1: SMARTER and MORE COMPETITIVE REGIONS</w:t>
            </w:r>
          </w:p>
          <w:p w14:paraId="7C40950B" w14:textId="77777777" w:rsidR="00A77B3E" w:rsidRDefault="00000000">
            <w:pPr>
              <w:spacing w:before="100"/>
              <w:rPr>
                <w:color w:val="000000"/>
              </w:rPr>
            </w:pPr>
            <w:r>
              <w:rPr>
                <w:rStyle w:val="Emphasis"/>
                <w:i w:val="0"/>
                <w:color w:val="000000"/>
              </w:rPr>
              <w:t>Priority 5: STRATEGIC TECHNOLOGIES for EUROPE PLATFORM (STEP)</w:t>
            </w:r>
          </w:p>
          <w:p w14:paraId="54A2BE95" w14:textId="77777777" w:rsidR="00A77B3E" w:rsidRDefault="00A77B3E">
            <w:pPr>
              <w:spacing w:before="100"/>
              <w:rPr>
                <w:color w:val="000000"/>
              </w:rPr>
            </w:pPr>
          </w:p>
          <w:p w14:paraId="02763013" w14:textId="77777777" w:rsidR="00A77B3E" w:rsidRDefault="00000000">
            <w:pPr>
              <w:spacing w:before="100"/>
              <w:rPr>
                <w:color w:val="000000"/>
              </w:rPr>
            </w:pPr>
            <w:r>
              <w:rPr>
                <w:color w:val="000000"/>
              </w:rPr>
              <w:t xml:space="preserve">The vision set out in Ireland’s Smart </w:t>
            </w:r>
            <w:proofErr w:type="spellStart"/>
            <w:r>
              <w:rPr>
                <w:color w:val="000000"/>
              </w:rPr>
              <w:t>Specialisation</w:t>
            </w:r>
            <w:proofErr w:type="spellEnd"/>
            <w:r>
              <w:rPr>
                <w:color w:val="000000"/>
              </w:rPr>
              <w:t xml:space="preserve"> Strategy (2022) [‘S3’] is to “embrace a regional approach to addressing Ireland’s Research, Development and Innovation (RD&amp;I) challenges and to “provide a ‘bridge’ between regional and national innovation strategy building and decision making, bringing coherence to RD&amp;I planning for the benefit of enterprise and advancing the RD&amp;I agenda regionally and nationally”.</w:t>
            </w:r>
          </w:p>
          <w:p w14:paraId="0B1F097E" w14:textId="77777777" w:rsidR="00A77B3E" w:rsidRDefault="00A77B3E">
            <w:pPr>
              <w:spacing w:before="100"/>
              <w:rPr>
                <w:color w:val="000000"/>
              </w:rPr>
            </w:pPr>
          </w:p>
          <w:p w14:paraId="40BBF048" w14:textId="77777777" w:rsidR="00A77B3E" w:rsidRDefault="00000000">
            <w:pPr>
              <w:spacing w:before="100"/>
              <w:rPr>
                <w:color w:val="000000"/>
              </w:rPr>
            </w:pPr>
            <w:r>
              <w:rPr>
                <w:color w:val="000000"/>
              </w:rPr>
              <w:t xml:space="preserve">The vision for the Southern Region – to become one of Europe’s most creative, innovative, greenest and </w:t>
            </w:r>
            <w:proofErr w:type="spellStart"/>
            <w:r>
              <w:rPr>
                <w:color w:val="000000"/>
              </w:rPr>
              <w:t>liveable</w:t>
            </w:r>
            <w:proofErr w:type="spellEnd"/>
            <w:r>
              <w:rPr>
                <w:color w:val="000000"/>
              </w:rPr>
              <w:t xml:space="preserve"> regions – and the vision for the Eastern and Midland Region – the creation of a sustainable and competitive region that supports the health and wellbeing of people and places – are set out in the RSES for the Southern Region (2020) and the RSES for the Eastern and Midland Region (2019) respectively. Each RSES includes high level strategic objectives and Regional Policy Objectives (RPOs) consistent with the specific objectives for the ERDF under policy objective 1 [‘PO1’] “a more competitive and smarter Europe by promoting innovative and smart economic transformation and regional ICT connectivity”.</w:t>
            </w:r>
          </w:p>
          <w:p w14:paraId="04FDCBE6" w14:textId="77777777" w:rsidR="00A77B3E" w:rsidRDefault="00A77B3E">
            <w:pPr>
              <w:spacing w:before="100"/>
              <w:rPr>
                <w:color w:val="000000"/>
              </w:rPr>
            </w:pPr>
          </w:p>
          <w:p w14:paraId="1783E144" w14:textId="77777777" w:rsidR="00A77B3E" w:rsidRDefault="00000000">
            <w:pPr>
              <w:spacing w:before="100"/>
              <w:rPr>
                <w:color w:val="000000"/>
              </w:rPr>
            </w:pPr>
            <w:r>
              <w:rPr>
                <w:color w:val="000000"/>
              </w:rPr>
              <w:t xml:space="preserve">The RSES for the Southern Region sets out an economic vision for the region based on “five economic principles of smart </w:t>
            </w:r>
            <w:proofErr w:type="spellStart"/>
            <w:r>
              <w:rPr>
                <w:color w:val="000000"/>
              </w:rPr>
              <w:t>specialisation</w:t>
            </w:r>
            <w:proofErr w:type="spellEnd"/>
            <w:r>
              <w:rPr>
                <w:color w:val="000000"/>
              </w:rPr>
              <w:t>, clustering, placemaking for enterprise development, knowledge diffusion, and capacity building”.</w:t>
            </w:r>
          </w:p>
          <w:p w14:paraId="3965B5B6" w14:textId="77777777" w:rsidR="00A77B3E" w:rsidRDefault="00A77B3E">
            <w:pPr>
              <w:spacing w:before="100"/>
              <w:rPr>
                <w:color w:val="000000"/>
              </w:rPr>
            </w:pPr>
          </w:p>
          <w:p w14:paraId="0DF8CFF3" w14:textId="77777777" w:rsidR="00A77B3E" w:rsidRDefault="00000000">
            <w:pPr>
              <w:spacing w:before="100"/>
              <w:rPr>
                <w:color w:val="000000"/>
              </w:rPr>
            </w:pPr>
            <w:r>
              <w:rPr>
                <w:color w:val="000000"/>
              </w:rPr>
              <w:t xml:space="preserve">The RSES for the Eastern and Midland Region’s preferred economic strategy promotes “smart </w:t>
            </w:r>
            <w:proofErr w:type="spellStart"/>
            <w:r>
              <w:rPr>
                <w:color w:val="000000"/>
              </w:rPr>
              <w:t>specialisation</w:t>
            </w:r>
            <w:proofErr w:type="spellEnd"/>
            <w:r>
              <w:rPr>
                <w:color w:val="000000"/>
              </w:rPr>
              <w:t xml:space="preserve"> strategies based on identified strengths and competitive advantages, combined with cluster policies that promote economies of scale and network effects in certain locations. The strategy should also support diversification of local economies and development of innovation and entrepreneurial ecosystems for sustained national growth that can withstand external shocks”.</w:t>
            </w:r>
          </w:p>
          <w:p w14:paraId="1D4E6609" w14:textId="77777777" w:rsidR="00A77B3E" w:rsidRDefault="00A77B3E">
            <w:pPr>
              <w:spacing w:before="100"/>
              <w:rPr>
                <w:color w:val="000000"/>
              </w:rPr>
            </w:pPr>
          </w:p>
          <w:p w14:paraId="63AD290E" w14:textId="77777777" w:rsidR="00A77B3E" w:rsidRDefault="00000000">
            <w:pPr>
              <w:spacing w:before="100"/>
              <w:rPr>
                <w:color w:val="000000"/>
              </w:rPr>
            </w:pPr>
            <w:r>
              <w:rPr>
                <w:color w:val="000000"/>
              </w:rPr>
              <w:lastRenderedPageBreak/>
              <w:t>A key factor to ensuring sustainable economic development is the degree to which a region’s enterprise base can remain competitive and productive, with successive Country Reports noting that differences in regional competitiveness in Ireland are sizeable and that significant productivity gaps remain between lagging domestic firms and highly productive multinational companies.</w:t>
            </w:r>
          </w:p>
          <w:p w14:paraId="050CEA5C" w14:textId="77777777" w:rsidR="00A77B3E" w:rsidRDefault="00A77B3E">
            <w:pPr>
              <w:spacing w:before="100"/>
              <w:rPr>
                <w:color w:val="000000"/>
              </w:rPr>
            </w:pPr>
          </w:p>
          <w:p w14:paraId="5B8790F4" w14:textId="77777777" w:rsidR="00A77B3E" w:rsidRDefault="00000000">
            <w:pPr>
              <w:spacing w:before="100"/>
              <w:rPr>
                <w:color w:val="000000"/>
              </w:rPr>
            </w:pPr>
            <w:r>
              <w:rPr>
                <w:color w:val="000000"/>
              </w:rPr>
              <w:t xml:space="preserve">According to the Regional Innovation Scoreboard (RIS) 2025, innovation performance improved across all three regions in Ireland from 2018 to 2025. But while the Northern and Western Region jumped to being a Strong Innovator+, and the Eastern and Midland Region moved up to being an Innovation Leader-, the Southern Region simply maintained </w:t>
            </w:r>
            <w:proofErr w:type="spellStart"/>
            <w:r>
              <w:rPr>
                <w:color w:val="000000"/>
              </w:rPr>
              <w:t>it's</w:t>
            </w:r>
            <w:proofErr w:type="spellEnd"/>
            <w:r>
              <w:rPr>
                <w:color w:val="000000"/>
              </w:rPr>
              <w:t xml:space="preserve"> position as a Strong Innovator, lagging behind the other two regions. It should be noted that the strong performance of the regions relative to the EU average can hide underperformance and regional imbalances both within and between the two regions.</w:t>
            </w:r>
          </w:p>
          <w:p w14:paraId="7AD0D00E" w14:textId="77777777" w:rsidR="00A77B3E" w:rsidRDefault="00A77B3E">
            <w:pPr>
              <w:spacing w:before="100"/>
              <w:rPr>
                <w:color w:val="000000"/>
              </w:rPr>
            </w:pPr>
          </w:p>
          <w:p w14:paraId="37CAAD1C" w14:textId="77777777" w:rsidR="00A77B3E" w:rsidRDefault="00000000">
            <w:pPr>
              <w:spacing w:before="100"/>
              <w:rPr>
                <w:color w:val="000000"/>
              </w:rPr>
            </w:pPr>
            <w:r>
              <w:rPr>
                <w:color w:val="000000"/>
              </w:rPr>
              <w:t>According to the Regional Competitiveness Index (RCI) 2022, the Southern Region was ranked the 94th most competitive region out of 234 regions in the EU, with the region underperforming with respect to infrastructure and market size, and – to a lesser extent – business sophistication and innovation. The Eastern and Midland Region is ranked the 24th most competitive region and scores above the EU average on all indicators with the exception of market size. Relative to the EU average in 2025, the Southern Region underperforms across the following key innovation indicators; Population involved in lifelong learning, R&amp;D expenditure in the public sector, R&amp;D expenditure in the business sector, Non-R&amp;D innovation expenditures, Employed IT specialists, SMEs introducing product and process innovations, PCT patent applications, Trademark applications, Design applications, and employment in innovative enterprises. Relative to the EU average in 2025, the Eastern and Midland Region underperforms across the following key innovation indicators; R&amp;D expenditure in the public sector, R&amp;D expenditure in the business sector, Non-R&amp;D innovation expenditures, SMEs introducing product and process innovations, PCT patent applications, Trademark applications, Design applications, Sales of new-to-market and new-to-firm innovations, and employment in innovative enterprises. Interlinked to the regions' competitiveness performance is the underlying challenge of lagging productivity levels in domestic SMEs in Ireland – as documented in the Country Reports.</w:t>
            </w:r>
          </w:p>
          <w:p w14:paraId="755FE71B" w14:textId="77777777" w:rsidR="00A77B3E" w:rsidRDefault="00A77B3E">
            <w:pPr>
              <w:spacing w:before="100"/>
              <w:rPr>
                <w:color w:val="000000"/>
              </w:rPr>
            </w:pPr>
          </w:p>
          <w:p w14:paraId="7B31F223" w14:textId="77777777" w:rsidR="00A77B3E" w:rsidRDefault="00000000">
            <w:pPr>
              <w:spacing w:before="100"/>
              <w:rPr>
                <w:color w:val="000000"/>
              </w:rPr>
            </w:pPr>
            <w:r>
              <w:rPr>
                <w:color w:val="000000"/>
              </w:rPr>
              <w:t>Priority 1 and Priority 5 respond to the S3 and to the RSES, together with challenges and policy responses set out in Innovation 2020, the NDP, the National Economic Recovery Plan, Enterprise 2025 Renewed, SME and Entrepreneurship Growth Plan, the National AI Strategy, Industry 4.0 Strategy, Our Rural Future, SFI Strategy 2025, the Regional Enterprise Plans, Impact 2030, RCI 2022, RIS 2025, and the Strategic Technologies for Europe Platform.</w:t>
            </w:r>
          </w:p>
          <w:p w14:paraId="46232851" w14:textId="77777777" w:rsidR="00A77B3E" w:rsidRDefault="00A77B3E">
            <w:pPr>
              <w:spacing w:before="100"/>
              <w:rPr>
                <w:color w:val="000000"/>
              </w:rPr>
            </w:pPr>
          </w:p>
          <w:p w14:paraId="4DCE9227" w14:textId="77777777" w:rsidR="00A77B3E" w:rsidRDefault="00000000">
            <w:pPr>
              <w:spacing w:before="100"/>
              <w:rPr>
                <w:color w:val="000000"/>
              </w:rPr>
            </w:pPr>
            <w:r>
              <w:rPr>
                <w:color w:val="000000"/>
              </w:rPr>
              <w:t xml:space="preserve">Priority 1 and Priority 5 focus on addressing the following key challenges in the </w:t>
            </w:r>
            <w:proofErr w:type="spellStart"/>
            <w:r>
              <w:rPr>
                <w:color w:val="000000"/>
              </w:rPr>
              <w:t>programme</w:t>
            </w:r>
            <w:proofErr w:type="spellEnd"/>
            <w:r>
              <w:rPr>
                <w:color w:val="000000"/>
              </w:rPr>
              <w:t xml:space="preserve"> area under PO1.</w:t>
            </w:r>
          </w:p>
          <w:p w14:paraId="08C9BD22" w14:textId="77777777" w:rsidR="00A77B3E" w:rsidRDefault="00A77B3E">
            <w:pPr>
              <w:spacing w:before="100"/>
              <w:rPr>
                <w:color w:val="000000"/>
              </w:rPr>
            </w:pPr>
          </w:p>
          <w:p w14:paraId="3E698875" w14:textId="77777777" w:rsidR="00A77B3E" w:rsidRDefault="00000000">
            <w:pPr>
              <w:spacing w:before="100"/>
              <w:rPr>
                <w:color w:val="000000"/>
              </w:rPr>
            </w:pPr>
            <w:r>
              <w:rPr>
                <w:rStyle w:val="Strong"/>
                <w:b w:val="0"/>
                <w:color w:val="000000"/>
              </w:rPr>
              <w:t>(</w:t>
            </w:r>
            <w:proofErr w:type="spellStart"/>
            <w:r>
              <w:rPr>
                <w:rStyle w:val="Strong"/>
                <w:b w:val="0"/>
                <w:color w:val="000000"/>
              </w:rPr>
              <w:t>i</w:t>
            </w:r>
            <w:proofErr w:type="spellEnd"/>
            <w:r>
              <w:rPr>
                <w:rStyle w:val="Strong"/>
                <w:b w:val="0"/>
                <w:color w:val="000000"/>
              </w:rPr>
              <w:t>) RD&amp;I capacity building</w:t>
            </w:r>
          </w:p>
          <w:p w14:paraId="71A4D8CD" w14:textId="77777777" w:rsidR="00A77B3E" w:rsidRDefault="00000000">
            <w:pPr>
              <w:spacing w:before="100"/>
              <w:rPr>
                <w:color w:val="000000"/>
              </w:rPr>
            </w:pPr>
            <w:r>
              <w:rPr>
                <w:color w:val="000000"/>
              </w:rPr>
              <w:t>Technological Universities (TUs) are a part of the changing face of higher education in Ireland. These multi-campus technological universities will drive access, excellence, and regional development, strengthening the links with enterprise and employers in their regions and beyond. The technological universities have a critical role to play in supporting higher levels of investment, both public and private, in industry-focused research in the regions. This will require significant capacity building. The Programme will focus on strengthening the TUs’ research and innovation offices and the industry gateways that support delivery of collaborative projects. This increased capacity will support far greater engagement with enterprises in the regions, recognizing that collaboration with SMEs in particular will frequently begin through smaller non-financial supports.</w:t>
            </w:r>
          </w:p>
          <w:p w14:paraId="5C1E2AAE" w14:textId="77777777" w:rsidR="00A77B3E" w:rsidRDefault="00A77B3E">
            <w:pPr>
              <w:spacing w:before="100"/>
              <w:rPr>
                <w:color w:val="000000"/>
              </w:rPr>
            </w:pPr>
          </w:p>
          <w:p w14:paraId="0C5838F2" w14:textId="77777777" w:rsidR="00A77B3E" w:rsidRDefault="00000000">
            <w:pPr>
              <w:spacing w:before="100"/>
              <w:rPr>
                <w:color w:val="000000"/>
              </w:rPr>
            </w:pPr>
            <w:r>
              <w:rPr>
                <w:rStyle w:val="Strong"/>
                <w:b w:val="0"/>
                <w:color w:val="000000"/>
              </w:rPr>
              <w:lastRenderedPageBreak/>
              <w:t>(ii) Supporting knowledge transfer</w:t>
            </w:r>
          </w:p>
          <w:p w14:paraId="2F8D4653" w14:textId="77777777" w:rsidR="00A77B3E" w:rsidRDefault="00000000">
            <w:pPr>
              <w:spacing w:before="100"/>
              <w:rPr>
                <w:color w:val="000000"/>
              </w:rPr>
            </w:pPr>
            <w:r>
              <w:rPr>
                <w:color w:val="000000"/>
              </w:rPr>
              <w:t>The S3 consultation emphasized the importance of funding the Technology Transfer Offices (TTOs) in the universities, technological universities and Institutes of Technology in the regions, building on the success of the Technology Transfer Strengthening Initiative (TTSI). These TTOs support: the increased use of national template agreements to simplify and speed up contracting with higher education institutes, as well as to bring more consistency for companies and innovators; the collection and publication of information on the facilities, equipment and supports available to companies to access within the third level and State-funded research base at national and regional level; the need to orchestrate existing and emerging capacities in regional areas and to raise the profile nationally and internationally; the continuity of industry-academic collaborations beyond a completed project to help companies to bring a project’s innovations to market; and the development of spin out companies.</w:t>
            </w:r>
          </w:p>
          <w:p w14:paraId="59CFB0A6" w14:textId="77777777" w:rsidR="00A77B3E" w:rsidRDefault="00A77B3E">
            <w:pPr>
              <w:spacing w:before="100"/>
              <w:rPr>
                <w:color w:val="000000"/>
              </w:rPr>
            </w:pPr>
          </w:p>
          <w:p w14:paraId="0FB8A99F" w14:textId="77777777" w:rsidR="00A77B3E" w:rsidRDefault="00000000">
            <w:pPr>
              <w:spacing w:before="100"/>
              <w:rPr>
                <w:color w:val="000000"/>
              </w:rPr>
            </w:pPr>
            <w:r>
              <w:rPr>
                <w:rStyle w:val="Strong"/>
                <w:b w:val="0"/>
                <w:color w:val="000000"/>
              </w:rPr>
              <w:t>(iii) Accelerating the translation of cutting-edge research into commercial applications</w:t>
            </w:r>
          </w:p>
          <w:p w14:paraId="3A500005" w14:textId="77777777" w:rsidR="00A77B3E" w:rsidRDefault="00000000">
            <w:pPr>
              <w:spacing w:before="100"/>
              <w:rPr>
                <w:color w:val="000000"/>
              </w:rPr>
            </w:pPr>
            <w:r>
              <w:rPr>
                <w:color w:val="000000"/>
              </w:rPr>
              <w:t xml:space="preserve">The OECD study on SME and Entrepreneurship Policy in Ireland (2019) stated that “Ireland is a successful generator of high-growth firms and its SMEs are innovative. Attitudes toward entrepreneurship are also positive overall. However, business dynamism and the start-up rate are relatively low, Irish SMEs are not very active in international markets, and SME productivity growth is stagnant. Approaches are also needed to connect SMEs and entrepreneurs in remote regions with broader entrepreneurship ecosystems in urban </w:t>
            </w:r>
            <w:proofErr w:type="spellStart"/>
            <w:r>
              <w:rPr>
                <w:color w:val="000000"/>
              </w:rPr>
              <w:t>centres</w:t>
            </w:r>
            <w:proofErr w:type="spellEnd"/>
            <w:r>
              <w:rPr>
                <w:color w:val="000000"/>
              </w:rPr>
              <w:t xml:space="preserve"> and larger cities”. SFI Strategy 2025 recognizes that the human capital, innovation and technology created by SFI-funded research must be transferred effectively to the domestic SME sector. The Programme will support SFI’s strategy to help boost the productivity of domestically owned enterprises by focusing on building partnerships and connections between SMEs and Higher Education Institutions in the regions. This will be done through knowledge exchange, through formal technology licensing, through new SME supports, through spinning out new companies, and through working with Enterprise Ireland, the Institutes of Technology, the universities and the new technological universities.</w:t>
            </w:r>
          </w:p>
          <w:p w14:paraId="2A1D8FB1" w14:textId="77777777" w:rsidR="00A77B3E" w:rsidRDefault="00A77B3E">
            <w:pPr>
              <w:spacing w:before="100"/>
              <w:rPr>
                <w:color w:val="000000"/>
              </w:rPr>
            </w:pPr>
          </w:p>
          <w:p w14:paraId="4B1E44E7" w14:textId="77777777" w:rsidR="00A77B3E" w:rsidRDefault="00000000">
            <w:pPr>
              <w:spacing w:before="100"/>
              <w:rPr>
                <w:color w:val="000000"/>
              </w:rPr>
            </w:pPr>
            <w:r>
              <w:rPr>
                <w:rStyle w:val="Strong"/>
                <w:b w:val="0"/>
                <w:color w:val="000000"/>
              </w:rPr>
              <w:t>(iv) Driving the development of skills required for ‘needs-led’ innovation in the regions</w:t>
            </w:r>
          </w:p>
          <w:p w14:paraId="63463652" w14:textId="77777777" w:rsidR="00A77B3E" w:rsidRDefault="00000000">
            <w:pPr>
              <w:spacing w:before="100"/>
              <w:rPr>
                <w:color w:val="000000"/>
              </w:rPr>
            </w:pPr>
            <w:r>
              <w:rPr>
                <w:color w:val="000000"/>
              </w:rPr>
              <w:t xml:space="preserve">Smart </w:t>
            </w:r>
            <w:proofErr w:type="spellStart"/>
            <w:r>
              <w:rPr>
                <w:color w:val="000000"/>
              </w:rPr>
              <w:t>Specialisation</w:t>
            </w:r>
            <w:proofErr w:type="spellEnd"/>
            <w:r>
              <w:rPr>
                <w:color w:val="000000"/>
              </w:rPr>
              <w:t xml:space="preserve"> in our regions will drive the development of skills needed for enhancing innovation activity across the regional economies. This will be achieved in the </w:t>
            </w:r>
            <w:proofErr w:type="spellStart"/>
            <w:r>
              <w:rPr>
                <w:color w:val="000000"/>
              </w:rPr>
              <w:t>programme</w:t>
            </w:r>
            <w:proofErr w:type="spellEnd"/>
            <w:r>
              <w:rPr>
                <w:color w:val="000000"/>
              </w:rPr>
              <w:t xml:space="preserve"> area through new and enhanced supports based on creating the necessary skills for ‘needs-led’ innovation, informed by existing international and national best practice and by our smart </w:t>
            </w:r>
            <w:proofErr w:type="spellStart"/>
            <w:r>
              <w:rPr>
                <w:color w:val="000000"/>
              </w:rPr>
              <w:t>specialisation</w:t>
            </w:r>
            <w:proofErr w:type="spellEnd"/>
            <w:r>
              <w:rPr>
                <w:color w:val="000000"/>
              </w:rPr>
              <w:t xml:space="preserve"> analysis and findings.</w:t>
            </w:r>
          </w:p>
          <w:p w14:paraId="179ED0EB" w14:textId="77777777" w:rsidR="00A77B3E" w:rsidRDefault="00A77B3E">
            <w:pPr>
              <w:spacing w:before="100"/>
              <w:rPr>
                <w:color w:val="000000"/>
              </w:rPr>
            </w:pPr>
          </w:p>
          <w:p w14:paraId="42C174C7" w14:textId="77777777" w:rsidR="00A77B3E" w:rsidRDefault="00000000">
            <w:pPr>
              <w:spacing w:before="100"/>
              <w:rPr>
                <w:color w:val="000000"/>
              </w:rPr>
            </w:pPr>
            <w:r>
              <w:rPr>
                <w:rStyle w:val="Strong"/>
                <w:b w:val="0"/>
                <w:color w:val="000000"/>
              </w:rPr>
              <w:t>(v) Strengthening and developing functional regional innovation ecosystems</w:t>
            </w:r>
          </w:p>
          <w:p w14:paraId="12A9D2FB" w14:textId="77777777" w:rsidR="00A77B3E" w:rsidRDefault="00000000">
            <w:pPr>
              <w:spacing w:before="100"/>
              <w:rPr>
                <w:color w:val="000000"/>
              </w:rPr>
            </w:pPr>
            <w:r>
              <w:rPr>
                <w:color w:val="000000"/>
              </w:rPr>
              <w:t xml:space="preserve">Smart </w:t>
            </w:r>
            <w:proofErr w:type="spellStart"/>
            <w:r>
              <w:rPr>
                <w:color w:val="000000"/>
              </w:rPr>
              <w:t>Specialisation</w:t>
            </w:r>
            <w:proofErr w:type="spellEnd"/>
            <w:r>
              <w:rPr>
                <w:color w:val="000000"/>
              </w:rPr>
              <w:t xml:space="preserve"> in our regions will encourage more regionally dispersed RD&amp;I, strengthen the enterprise base and identify emerging areas of opportunity. This will be achieved by leveraging and building on the analysis of Irish regions’ strengths and emerging areas of opportunity undertaken as part of the development of Ireland’s S3; addressing gaps in existing regional innovation infrastructures and systems by supporting projects aligned with the nine Regional Enterprise Plans (REPs); and seeking out opportunities to enable inter-regional collaboration including through support for Regional Innovation Valleys.</w:t>
            </w:r>
          </w:p>
          <w:p w14:paraId="180FB51D" w14:textId="77777777" w:rsidR="00A77B3E" w:rsidRDefault="00A77B3E">
            <w:pPr>
              <w:spacing w:before="100"/>
              <w:rPr>
                <w:color w:val="000000"/>
              </w:rPr>
            </w:pPr>
          </w:p>
          <w:p w14:paraId="2DA3C96A" w14:textId="77777777" w:rsidR="00A77B3E" w:rsidRDefault="00000000">
            <w:pPr>
              <w:spacing w:before="100"/>
              <w:rPr>
                <w:color w:val="000000"/>
              </w:rPr>
            </w:pPr>
            <w:r>
              <w:rPr>
                <w:rStyle w:val="Strong"/>
                <w:b w:val="0"/>
                <w:color w:val="000000"/>
              </w:rPr>
              <w:t xml:space="preserve">(vi) Enhancing STEP related deep-tech innovation and entrepreneurship </w:t>
            </w:r>
            <w:r>
              <w:rPr>
                <w:color w:val="000000"/>
              </w:rPr>
              <w:t xml:space="preserve">by </w:t>
            </w:r>
            <w:proofErr w:type="spellStart"/>
            <w:r>
              <w:rPr>
                <w:color w:val="000000"/>
              </w:rPr>
              <w:t>targetting</w:t>
            </w:r>
            <w:proofErr w:type="spellEnd"/>
            <w:r>
              <w:rPr>
                <w:color w:val="000000"/>
              </w:rPr>
              <w:t xml:space="preserve"> increased investment contributing to the objectives of the Strategic Technology for Europe Platform (STEP).</w:t>
            </w:r>
          </w:p>
          <w:p w14:paraId="7F72C3F7" w14:textId="77777777" w:rsidR="00A77B3E" w:rsidRDefault="00A77B3E">
            <w:pPr>
              <w:spacing w:before="100"/>
              <w:rPr>
                <w:color w:val="000000"/>
              </w:rPr>
            </w:pPr>
          </w:p>
          <w:p w14:paraId="70D4E07A" w14:textId="77777777" w:rsidR="00A77B3E" w:rsidRDefault="00000000">
            <w:pPr>
              <w:spacing w:before="100"/>
              <w:rPr>
                <w:color w:val="000000"/>
              </w:rPr>
            </w:pPr>
            <w:r>
              <w:rPr>
                <w:color w:val="000000"/>
              </w:rPr>
              <w:t xml:space="preserve">Both Priority 1 and Priority 5 will provide important opportunities for complementarities between Horizon Europe and ERDF supported actions, through capacity building, co-funding and/or use of the Seals of Excellence. The Programme will complement actions under the NRRP to support the </w:t>
            </w:r>
            <w:proofErr w:type="spellStart"/>
            <w:r>
              <w:rPr>
                <w:color w:val="000000"/>
              </w:rPr>
              <w:t>digitalisation</w:t>
            </w:r>
            <w:proofErr w:type="spellEnd"/>
            <w:r>
              <w:rPr>
                <w:color w:val="000000"/>
              </w:rPr>
              <w:t xml:space="preserve"> of businesses, to drive reforms in regional skills development, digital infrastructure in </w:t>
            </w:r>
            <w:r>
              <w:rPr>
                <w:color w:val="000000"/>
              </w:rPr>
              <w:lastRenderedPageBreak/>
              <w:t xml:space="preserve">schools, staff and curriculum development in the technological universities, and to use mission-oriented challenges to </w:t>
            </w:r>
            <w:proofErr w:type="spellStart"/>
            <w:r>
              <w:rPr>
                <w:color w:val="000000"/>
              </w:rPr>
              <w:t>incentivise</w:t>
            </w:r>
            <w:proofErr w:type="spellEnd"/>
            <w:r>
              <w:rPr>
                <w:color w:val="000000"/>
              </w:rPr>
              <w:t xml:space="preserve"> researchers to deliver tangible impact for society in areas such as health, agriculture and climate through the National Grand Challenges Programme in research.</w:t>
            </w:r>
          </w:p>
          <w:p w14:paraId="31B48B01" w14:textId="77777777" w:rsidR="00A77B3E" w:rsidRDefault="00A77B3E">
            <w:pPr>
              <w:spacing w:before="100"/>
              <w:rPr>
                <w:color w:val="000000"/>
              </w:rPr>
            </w:pPr>
          </w:p>
          <w:p w14:paraId="76456161" w14:textId="77777777" w:rsidR="00A77B3E" w:rsidRDefault="00000000">
            <w:pPr>
              <w:spacing w:before="100"/>
              <w:rPr>
                <w:color w:val="000000"/>
              </w:rPr>
            </w:pPr>
            <w:r>
              <w:rPr>
                <w:color w:val="000000"/>
              </w:rPr>
              <w:t xml:space="preserve">The Programme will also complement funding and activities under the other CPR funds, Connecting Europe Facility, LIFE </w:t>
            </w:r>
            <w:proofErr w:type="spellStart"/>
            <w:r>
              <w:rPr>
                <w:color w:val="000000"/>
              </w:rPr>
              <w:t>programme</w:t>
            </w:r>
            <w:proofErr w:type="spellEnd"/>
            <w:r>
              <w:rPr>
                <w:color w:val="000000"/>
              </w:rPr>
              <w:t xml:space="preserve">, </w:t>
            </w:r>
            <w:proofErr w:type="spellStart"/>
            <w:r>
              <w:rPr>
                <w:color w:val="000000"/>
              </w:rPr>
              <w:t>InvestEU</w:t>
            </w:r>
            <w:proofErr w:type="spellEnd"/>
            <w:r>
              <w:rPr>
                <w:color w:val="000000"/>
              </w:rPr>
              <w:t xml:space="preserve"> and other financial instruments managed by the European Investment Bank. This includes activities that support the objectives of the Atlantic Action Plan 2.0. For example, investment in RD&amp;I capacity building in the </w:t>
            </w:r>
            <w:proofErr w:type="spellStart"/>
            <w:r>
              <w:rPr>
                <w:color w:val="000000"/>
              </w:rPr>
              <w:t>programme</w:t>
            </w:r>
            <w:proofErr w:type="spellEnd"/>
            <w:r>
              <w:rPr>
                <w:color w:val="000000"/>
              </w:rPr>
              <w:t xml:space="preserve"> area will support EMFAF investment in research to tackle climate actions, knowledge sharing, development of process innovation to support operational </w:t>
            </w:r>
            <w:proofErr w:type="spellStart"/>
            <w:r>
              <w:rPr>
                <w:color w:val="000000"/>
              </w:rPr>
              <w:t>optimisation</w:t>
            </w:r>
            <w:proofErr w:type="spellEnd"/>
            <w:r>
              <w:rPr>
                <w:color w:val="000000"/>
              </w:rPr>
              <w:t xml:space="preserve"> in the processing sector and research to quantify the potential of coastal habitats as carbon sinks .</w:t>
            </w:r>
          </w:p>
          <w:p w14:paraId="5EB5B308" w14:textId="77777777" w:rsidR="00A77B3E" w:rsidRDefault="00A77B3E">
            <w:pPr>
              <w:spacing w:before="100"/>
              <w:rPr>
                <w:color w:val="000000"/>
              </w:rPr>
            </w:pPr>
          </w:p>
          <w:p w14:paraId="7BA23037" w14:textId="77777777" w:rsidR="00A77B3E" w:rsidRDefault="00000000">
            <w:pPr>
              <w:spacing w:before="100"/>
              <w:rPr>
                <w:color w:val="000000"/>
              </w:rPr>
            </w:pPr>
            <w:r>
              <w:rPr>
                <w:color w:val="000000"/>
              </w:rPr>
              <w:t xml:space="preserve">Actions under PO1 are closely aligned to many of the actions set out under the European Research Area (ERA) policy agenda, in particular Action 15 to Build-Up Regional and National R&amp;I Ecosystems to Improve Regional/National Excellence and Competitiveness, Action 16 to Improve EU-Wide Access to Excellence, and Action 17 to Enhance the Strategic Capacity of Europe’s Public Research Performing </w:t>
            </w:r>
            <w:proofErr w:type="spellStart"/>
            <w:r>
              <w:rPr>
                <w:color w:val="000000"/>
              </w:rPr>
              <w:t>Organisations</w:t>
            </w:r>
            <w:proofErr w:type="spellEnd"/>
            <w:r>
              <w:rPr>
                <w:color w:val="000000"/>
              </w:rPr>
              <w:t>. For example, the focus on strengthening RDI capacity in the TUs will see TUs extend latent research and innovation excellence into their regions (but also nationally and internationally), by working with enterprise actors to create and exploit knowledge in line with the ERA policy agenda.</w:t>
            </w:r>
          </w:p>
          <w:p w14:paraId="1820A6EB" w14:textId="77777777" w:rsidR="00A77B3E" w:rsidRDefault="00A77B3E">
            <w:pPr>
              <w:spacing w:before="100"/>
              <w:rPr>
                <w:color w:val="000000"/>
              </w:rPr>
            </w:pPr>
          </w:p>
          <w:p w14:paraId="37B03F71" w14:textId="77777777" w:rsidR="00A77B3E" w:rsidRDefault="00A77B3E">
            <w:pPr>
              <w:spacing w:before="100"/>
              <w:rPr>
                <w:color w:val="000000"/>
              </w:rPr>
            </w:pPr>
          </w:p>
          <w:p w14:paraId="7F7EA31F" w14:textId="77777777" w:rsidR="00A77B3E" w:rsidRDefault="00000000">
            <w:pPr>
              <w:spacing w:before="100"/>
              <w:rPr>
                <w:color w:val="000000"/>
              </w:rPr>
            </w:pPr>
            <w:r>
              <w:rPr>
                <w:rStyle w:val="Strong"/>
                <w:b w:val="0"/>
                <w:color w:val="000000"/>
              </w:rPr>
              <w:t>Policy Objective 2 [‘PO2’]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p w14:paraId="3844CAA2" w14:textId="77777777" w:rsidR="00A77B3E" w:rsidRDefault="00000000">
            <w:pPr>
              <w:spacing w:before="100"/>
              <w:rPr>
                <w:color w:val="000000"/>
              </w:rPr>
            </w:pPr>
            <w:r>
              <w:rPr>
                <w:rStyle w:val="Emphasis"/>
                <w:i w:val="0"/>
                <w:color w:val="000000"/>
              </w:rPr>
              <w:t>Priority 2: LOW-CARBON ENERGY EFFICIENT REGIONS</w:t>
            </w:r>
          </w:p>
          <w:p w14:paraId="421E71C2" w14:textId="77777777" w:rsidR="00A77B3E" w:rsidRDefault="00000000">
            <w:pPr>
              <w:spacing w:before="100"/>
              <w:rPr>
                <w:color w:val="000000"/>
              </w:rPr>
            </w:pPr>
            <w:r>
              <w:rPr>
                <w:rStyle w:val="Emphasis"/>
                <w:i w:val="0"/>
                <w:color w:val="000000"/>
              </w:rPr>
              <w:t>Priority 4: SUSTAINABLE and AFFORDABLE HOUSING</w:t>
            </w:r>
          </w:p>
          <w:p w14:paraId="24FEEF34" w14:textId="77777777" w:rsidR="00A77B3E" w:rsidRDefault="00A77B3E">
            <w:pPr>
              <w:spacing w:before="100"/>
              <w:rPr>
                <w:color w:val="000000"/>
              </w:rPr>
            </w:pPr>
          </w:p>
          <w:p w14:paraId="632B5B8E" w14:textId="77777777" w:rsidR="00A77B3E" w:rsidRDefault="00000000">
            <w:pPr>
              <w:spacing w:before="100"/>
              <w:rPr>
                <w:color w:val="000000"/>
              </w:rPr>
            </w:pPr>
            <w:r>
              <w:rPr>
                <w:color w:val="000000"/>
              </w:rPr>
              <w:t>The RSES for the Southern Region (2020) and the RSES for the Eastern and Midland Region (2019) both have climate action and the protection of the environment at their core. Each RSES includes Regional Policy Objectives (RPOs) consistent with the specific objectives for the ERDF under policy objective 2 [‘PO2’]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p w14:paraId="1164433C" w14:textId="77777777" w:rsidR="00A77B3E" w:rsidRDefault="00A77B3E">
            <w:pPr>
              <w:spacing w:before="100"/>
              <w:rPr>
                <w:color w:val="000000"/>
              </w:rPr>
            </w:pPr>
          </w:p>
          <w:p w14:paraId="4E7416CF" w14:textId="77777777" w:rsidR="00A77B3E" w:rsidRDefault="00000000">
            <w:pPr>
              <w:spacing w:before="100"/>
              <w:rPr>
                <w:color w:val="000000"/>
              </w:rPr>
            </w:pPr>
            <w:r>
              <w:rPr>
                <w:color w:val="000000"/>
              </w:rPr>
              <w:t xml:space="preserve">CR2019 and the National Energy &amp; Climate Plan 2021-2030 highlighted that economic growth and GHG emissions had yet to be decoupled, warning that Ireland was falling further behind in </w:t>
            </w:r>
            <w:proofErr w:type="spellStart"/>
            <w:r>
              <w:rPr>
                <w:color w:val="000000"/>
              </w:rPr>
              <w:t>decarbonising</w:t>
            </w:r>
            <w:proofErr w:type="spellEnd"/>
            <w:r>
              <w:rPr>
                <w:color w:val="000000"/>
              </w:rPr>
              <w:t xml:space="preserve"> its economy and the lack of progress would make the challenge of meeting EU obligations more difficult, while also increasing the cost of future action. National projections on GHG indicated that cumulated emissions would be 20 percentage points short of the reduction target.</w:t>
            </w:r>
          </w:p>
          <w:p w14:paraId="569BDE03" w14:textId="77777777" w:rsidR="00A77B3E" w:rsidRDefault="00A77B3E">
            <w:pPr>
              <w:spacing w:before="100"/>
              <w:rPr>
                <w:color w:val="000000"/>
              </w:rPr>
            </w:pPr>
          </w:p>
          <w:p w14:paraId="34A0F8A0" w14:textId="77777777" w:rsidR="00A77B3E" w:rsidRDefault="00000000">
            <w:pPr>
              <w:spacing w:before="100"/>
              <w:rPr>
                <w:color w:val="000000"/>
              </w:rPr>
            </w:pPr>
            <w:r>
              <w:rPr>
                <w:color w:val="000000"/>
              </w:rPr>
              <w:t>CR2020 reported some progress and acknowledged that the publication of the Climate Action Plan 2019 represented “a much-needed breakthrough and a stepping stone in the transition to a climate neutral and circular economy” but stated that greenhouse emissions in the transport, building and agriculture sectors are high and on a rising trend. It suggested “there is scope for improvement in…reducing greenhouse emissions, increasing the share of renewables, energy efficiency and poverty reduction”.</w:t>
            </w:r>
          </w:p>
          <w:p w14:paraId="1E6EDC4E" w14:textId="77777777" w:rsidR="00A77B3E" w:rsidRDefault="00A77B3E">
            <w:pPr>
              <w:spacing w:before="100"/>
              <w:rPr>
                <w:color w:val="000000"/>
              </w:rPr>
            </w:pPr>
          </w:p>
          <w:p w14:paraId="1E066F6F" w14:textId="77777777" w:rsidR="00A77B3E" w:rsidRDefault="00000000">
            <w:pPr>
              <w:spacing w:before="100"/>
              <w:rPr>
                <w:color w:val="000000"/>
              </w:rPr>
            </w:pPr>
            <w:r>
              <w:rPr>
                <w:color w:val="000000"/>
              </w:rPr>
              <w:lastRenderedPageBreak/>
              <w:t>The independent Needs Analysis for ERDF and ESF+ in Ireland (2020) also identified the need to accelerate progress to address climate change objectives and the green economy. Potential for development was identified in various sectors, including investment to enhance the energy efficiency of the building stock, to reduce waste, to promote the circular economy and to reduce the use of private transport, while noting that “this will require a range of policies and a scale of resources outside of the scope of the [ERDF] funds.”</w:t>
            </w:r>
          </w:p>
          <w:p w14:paraId="77EDB9A8" w14:textId="77777777" w:rsidR="00A77B3E" w:rsidRDefault="00A77B3E">
            <w:pPr>
              <w:spacing w:before="100"/>
              <w:rPr>
                <w:color w:val="000000"/>
              </w:rPr>
            </w:pPr>
          </w:p>
          <w:p w14:paraId="75F8550B" w14:textId="77777777" w:rsidR="00A77B3E" w:rsidRDefault="00000000">
            <w:pPr>
              <w:spacing w:before="100"/>
              <w:rPr>
                <w:color w:val="000000"/>
              </w:rPr>
            </w:pPr>
            <w:r>
              <w:rPr>
                <w:color w:val="000000"/>
              </w:rPr>
              <w:t>The Climate Action and Low Carbon Development (Amendment) Bill 2021 recognizes the scale of the climate challenge and increases the ambition to “support Ireland’s transition to Net Zero and achieve a climate neutral economy by no later than 2050”. The Climate Action Plan 2021 [‘CAP21’] provides a sectoral roadmap for meeting Ireland’s 2050 national climate objective. CAP21 estimates that €125 billion of capital investment (additional and reallocated) in low-carbon technologies and infrastructure will be required in the period 2021 to 2030. This includes investment of €51 billion in transport and €35 billion in buildings. The largest incremental increases are foreseen in buildings (75%), energy (50%) and agriculture (50%).</w:t>
            </w:r>
          </w:p>
          <w:p w14:paraId="52E3804E" w14:textId="77777777" w:rsidR="00A77B3E" w:rsidRDefault="00A77B3E">
            <w:pPr>
              <w:spacing w:before="100"/>
              <w:rPr>
                <w:color w:val="000000"/>
              </w:rPr>
            </w:pPr>
          </w:p>
          <w:p w14:paraId="7CBE0D2B" w14:textId="77777777" w:rsidR="00A77B3E" w:rsidRDefault="00000000">
            <w:pPr>
              <w:spacing w:before="100"/>
              <w:rPr>
                <w:color w:val="000000"/>
              </w:rPr>
            </w:pPr>
            <w:r>
              <w:rPr>
                <w:color w:val="000000"/>
              </w:rPr>
              <w:t>CAP21 identifies significant public investment under the NDP, complemented by investment under the NRRP, the EU Just Transition Fund (JTF) and the ERDF but notes that relying solely on public funding “is neither affordable nor adequate to the scale of the challenge to be addressed” and identifies a role for private investment, regulation and taxation policy.</w:t>
            </w:r>
          </w:p>
          <w:p w14:paraId="220C2CD9" w14:textId="77777777" w:rsidR="00A77B3E" w:rsidRDefault="00A77B3E">
            <w:pPr>
              <w:spacing w:before="100"/>
              <w:rPr>
                <w:color w:val="000000"/>
              </w:rPr>
            </w:pPr>
          </w:p>
          <w:p w14:paraId="48214EFB" w14:textId="77777777" w:rsidR="00A77B3E" w:rsidRDefault="00000000">
            <w:pPr>
              <w:spacing w:before="100"/>
              <w:rPr>
                <w:color w:val="000000"/>
              </w:rPr>
            </w:pPr>
            <w:r>
              <w:rPr>
                <w:color w:val="000000"/>
              </w:rPr>
              <w:t xml:space="preserve">The scale of the investment required to meet climate action ambitions in the </w:t>
            </w:r>
            <w:proofErr w:type="spellStart"/>
            <w:r>
              <w:rPr>
                <w:color w:val="000000"/>
              </w:rPr>
              <w:t>programme</w:t>
            </w:r>
            <w:proofErr w:type="spellEnd"/>
            <w:r>
              <w:rPr>
                <w:color w:val="000000"/>
              </w:rPr>
              <w:t xml:space="preserve"> area was reflected in the original decision to focus </w:t>
            </w:r>
            <w:proofErr w:type="spellStart"/>
            <w:r>
              <w:rPr>
                <w:color w:val="000000"/>
              </w:rPr>
              <w:t>programme</w:t>
            </w:r>
            <w:proofErr w:type="spellEnd"/>
            <w:r>
              <w:rPr>
                <w:color w:val="000000"/>
              </w:rPr>
              <w:t xml:space="preserve"> resources on one specific objective – promoting energy efficiency and reducing greenhouse gas emissions (RSO2.1) – under Priority 2, rather than attempting to spread the investment over multiple specific objectives.</w:t>
            </w:r>
          </w:p>
          <w:p w14:paraId="40DFDE55" w14:textId="77777777" w:rsidR="00A77B3E" w:rsidRDefault="00A77B3E">
            <w:pPr>
              <w:spacing w:before="100"/>
              <w:rPr>
                <w:color w:val="000000"/>
              </w:rPr>
            </w:pPr>
          </w:p>
          <w:p w14:paraId="676132FA" w14:textId="77777777" w:rsidR="00A77B3E" w:rsidRDefault="00000000">
            <w:pPr>
              <w:spacing w:before="100"/>
              <w:rPr>
                <w:color w:val="000000"/>
              </w:rPr>
            </w:pPr>
            <w:r>
              <w:rPr>
                <w:color w:val="000000"/>
              </w:rPr>
              <w:t>CAP21 identifies some of the other sources of investment that will support investment needs under PO2. Measures in the energy area, including those envisaged under RSO2.2 and RSO2.3, will be financed “through a variety of mechanisms in combination with private investment: direct Exchequer capital supports; displacing fossil fuel imports; the Public Service Obligation (PSO) Levy; and, in respect of investment in the regulated gas and electricity networks by the system operators, through network charges”. The NRRP has a climate contribution of EUR 616.8 million and includes projects such as retrofitting, ecosystem resilience and regeneration, climate mitigation and adaptation, and green data systems (RSO2.1, RSO2.4, RSO2.7). The NDP and the NRRP commit significant funding towards Sustainable Urban Mobility (RSO2.8). EAFRD will continue to play a role in supporting resource efficiency and energy efficiency in agriculture, food and forestry sectors.</w:t>
            </w:r>
          </w:p>
          <w:p w14:paraId="16ED8155" w14:textId="77777777" w:rsidR="00A77B3E" w:rsidRDefault="00000000">
            <w:pPr>
              <w:spacing w:before="100"/>
              <w:rPr>
                <w:color w:val="000000"/>
              </w:rPr>
            </w:pPr>
            <w:r>
              <w:rPr>
                <w:color w:val="000000"/>
              </w:rPr>
              <w:t>The need to improve the energy efficiency of the Southern Region’s residential sector is evident from the low levels of audited households to register a Building Energy Rating (BER) between “A” and “B”. Between 2009 and 2020, only 19 per cent of audited households in Ireland registered a BER between “A” and “B”, with the corresponding ratios for households based in the Southern Region – particularly in the Mid-West and South-East – notably low and in most cases below the State average.</w:t>
            </w:r>
          </w:p>
          <w:p w14:paraId="30874B8F" w14:textId="77777777" w:rsidR="00A77B3E" w:rsidRDefault="00A77B3E">
            <w:pPr>
              <w:spacing w:before="100"/>
              <w:rPr>
                <w:color w:val="000000"/>
              </w:rPr>
            </w:pPr>
          </w:p>
          <w:p w14:paraId="516A70D5" w14:textId="77777777" w:rsidR="00A77B3E" w:rsidRDefault="00000000">
            <w:pPr>
              <w:spacing w:before="100"/>
              <w:rPr>
                <w:color w:val="000000"/>
              </w:rPr>
            </w:pPr>
            <w:r>
              <w:rPr>
                <w:color w:val="000000"/>
              </w:rPr>
              <w:t>The Southern Region’s challenge of improving household energy efficiency is also reflected in the fact that many households – particularly in rural based areas – continue to rely on solid fuels as their source of energy for their main space heating system . Between 2009 and 2020, 5% of the homes in Ireland – that were audited for a BER – noted that they used solid fuels as their main space heating fuel, with above average proportions predominantly registered in rural based areas across the Southern Region.</w:t>
            </w:r>
          </w:p>
          <w:p w14:paraId="7B778AF2" w14:textId="77777777" w:rsidR="00A77B3E" w:rsidRDefault="00A77B3E">
            <w:pPr>
              <w:spacing w:before="100"/>
              <w:rPr>
                <w:color w:val="000000"/>
              </w:rPr>
            </w:pPr>
          </w:p>
          <w:p w14:paraId="341A5183" w14:textId="77777777" w:rsidR="00A77B3E" w:rsidRDefault="00000000">
            <w:pPr>
              <w:spacing w:before="100"/>
              <w:rPr>
                <w:color w:val="000000"/>
              </w:rPr>
            </w:pPr>
            <w:r>
              <w:rPr>
                <w:color w:val="000000"/>
              </w:rPr>
              <w:lastRenderedPageBreak/>
              <w:t xml:space="preserve">The </w:t>
            </w:r>
            <w:proofErr w:type="spellStart"/>
            <w:r>
              <w:rPr>
                <w:color w:val="000000"/>
              </w:rPr>
              <w:t>decarbonisation</w:t>
            </w:r>
            <w:proofErr w:type="spellEnd"/>
            <w:r>
              <w:rPr>
                <w:color w:val="000000"/>
              </w:rPr>
              <w:t xml:space="preserve"> of the Eastern and Midland Region’s residential market represents a significant development challenge, particularly considering its size in absolute terms. Although the Eastern and Midland Region – specifically in Dublin and the Mid-East – recorded above average proportions of households with a BER between A” and “B”, these proportions continue to remain notably low in the more rural parts of the region. Households in Dublin and the Mid-East were generally not dependent on using solid fuels as their household’s heating fuel source.</w:t>
            </w:r>
          </w:p>
          <w:p w14:paraId="70B5E222" w14:textId="77777777" w:rsidR="00A77B3E" w:rsidRDefault="00A77B3E">
            <w:pPr>
              <w:spacing w:before="100"/>
              <w:rPr>
                <w:color w:val="000000"/>
              </w:rPr>
            </w:pPr>
          </w:p>
          <w:p w14:paraId="0CB12080" w14:textId="77777777" w:rsidR="00A77B3E" w:rsidRDefault="00000000">
            <w:pPr>
              <w:spacing w:before="100"/>
              <w:rPr>
                <w:color w:val="000000"/>
              </w:rPr>
            </w:pPr>
            <w:r>
              <w:rPr>
                <w:color w:val="000000"/>
              </w:rPr>
              <w:t>The European Green Deal sets out the EU’s climate and environmental goals to reach climate neutrality by 2050 and at the same time to ensure the transition is just and inclusive – leaving no one behind – and to address the risk of energy poverty to ensure a basic standard of living for all citizens. The extent of energy poverty in Ireland is significant irrespective of the indicators used for the assessment.</w:t>
            </w:r>
          </w:p>
          <w:p w14:paraId="02388294" w14:textId="77777777" w:rsidR="00A77B3E" w:rsidRDefault="00A77B3E">
            <w:pPr>
              <w:spacing w:before="100"/>
              <w:rPr>
                <w:color w:val="000000"/>
              </w:rPr>
            </w:pPr>
          </w:p>
          <w:p w14:paraId="4CF62475" w14:textId="77777777" w:rsidR="00A77B3E" w:rsidRDefault="00000000">
            <w:pPr>
              <w:spacing w:before="100"/>
              <w:rPr>
                <w:color w:val="000000"/>
              </w:rPr>
            </w:pPr>
            <w:r>
              <w:rPr>
                <w:color w:val="000000"/>
              </w:rPr>
              <w:t>The ESRI “Energy Poverty and Deprivation in Ireland” report June 2022 evidenced that energy poverty (based on households spending more than 10% of disposal income on energy) in Ireland has increased from 13.2% in 2015/2016 to 29.4% as at April 2022. The Commission for Regulation of Utilities Arrears and Non-Payment of Account (NPA) Disconnections February 2021 Update showed that 240,000 electricity customers i.e., 11% of households and 112.833 gas customers i.e., 16% of householders were in arrears in February 2021 in Ireland. The CSO Statistics show that prior to the significant increase in energy prices as a result of the war in Ukraine, 10% of households in the Southern Region and 5.2% of households in the Eastern &amp; Midlands Region went without heating at some stage in 2021. SEAI’s domestic fuel comparison of energy costs reported that on average the cost of coal increased by 37%, oil by 78%, gas by 33% and electricity by 15% from April 2021 to April 2022. The ESRI advise that the increasing energy cost trend is likely to continue as wholesale energy prices continue to increase and estimate that if energy prices increase by a further 25% this will increase the number of households in energy poverty to 43% in Ireland. Addressing energy poverty is more important than ever and therefore a key investment need that this Programme seeks to address.</w:t>
            </w:r>
          </w:p>
          <w:p w14:paraId="19E17B4B" w14:textId="77777777" w:rsidR="00A77B3E" w:rsidRDefault="00A77B3E">
            <w:pPr>
              <w:spacing w:before="100"/>
              <w:rPr>
                <w:color w:val="000000"/>
              </w:rPr>
            </w:pPr>
          </w:p>
          <w:p w14:paraId="7A43AE1B" w14:textId="77777777" w:rsidR="00A77B3E" w:rsidRDefault="00000000">
            <w:pPr>
              <w:spacing w:before="100"/>
              <w:rPr>
                <w:color w:val="000000"/>
              </w:rPr>
            </w:pPr>
            <w:r>
              <w:rPr>
                <w:color w:val="000000"/>
              </w:rPr>
              <w:t>In 2025, Regulation (EU) 2025/1914 provided greater flexibility in the context of the mid-term review, creating an opportunity for additional actions under PO2. The Programme was amended to include a new specific objective – promoting access to affordable and sustainable housing (RSO2.11) – under Priority 4. This responds both to the housing crisis in Ireland and to the need for new housing to be energy efficient and sustainable.</w:t>
            </w:r>
          </w:p>
          <w:p w14:paraId="117B350D" w14:textId="77777777" w:rsidR="00A77B3E" w:rsidRDefault="00A77B3E">
            <w:pPr>
              <w:spacing w:before="100"/>
              <w:rPr>
                <w:color w:val="000000"/>
              </w:rPr>
            </w:pPr>
          </w:p>
          <w:p w14:paraId="3EAEF549" w14:textId="77777777" w:rsidR="00A77B3E" w:rsidRDefault="00000000">
            <w:pPr>
              <w:spacing w:before="100"/>
              <w:rPr>
                <w:color w:val="000000"/>
              </w:rPr>
            </w:pPr>
            <w:r>
              <w:rPr>
                <w:color w:val="000000"/>
              </w:rPr>
              <w:t>The lack of adequate and affordable housing, and the need to address it at EU level, has emerged as a concern across the European Union. In the period between 2010 and 2024, house prices increased by 55.4% on average across Europe, while rents increased by an average of 26.7%. The largest increases were seen in capital cities and urban areas where employment opportunities are concentrated.</w:t>
            </w:r>
          </w:p>
          <w:p w14:paraId="5904C8E2" w14:textId="77777777" w:rsidR="00A77B3E" w:rsidRDefault="00A77B3E">
            <w:pPr>
              <w:spacing w:before="100"/>
              <w:rPr>
                <w:color w:val="000000"/>
              </w:rPr>
            </w:pPr>
          </w:p>
          <w:p w14:paraId="279B7E5D" w14:textId="77777777" w:rsidR="00A77B3E" w:rsidRDefault="00000000">
            <w:pPr>
              <w:spacing w:before="100"/>
              <w:rPr>
                <w:color w:val="000000"/>
              </w:rPr>
            </w:pPr>
            <w:r>
              <w:rPr>
                <w:color w:val="000000"/>
              </w:rPr>
              <w:t xml:space="preserve">The Irish Government's new Housing Plan “Delivering Homes, Building Communities 2025-2030” identifies the delivery of homes as the Government’s "single biggest priority” and commits to delivering a minimum of 300,000 new homes of all types across the country between 2025 and 2030, noting that the mismatch between housing supply and demand has created deep pressures in the housing system, particularly in urban areas and regional growth </w:t>
            </w:r>
            <w:proofErr w:type="spellStart"/>
            <w:r>
              <w:rPr>
                <w:color w:val="000000"/>
              </w:rPr>
              <w:t>centres</w:t>
            </w:r>
            <w:proofErr w:type="spellEnd"/>
            <w:r>
              <w:rPr>
                <w:color w:val="000000"/>
              </w:rPr>
              <w:t>, driving higher house prices, rents and homelessness. "We are in a housing crisis, one that requires a rapid response...Ireland has undergone significant demographic and economic change in recent years, with population growth at its fastest pace in our modern history…it has placed considerable pressure on the housing system that we have...the Plan will address the needs of the most vulnerable in our communities, make buying and renting homes more affordable and support the development of villages, towns and cities across the country".</w:t>
            </w:r>
          </w:p>
          <w:p w14:paraId="134B7DB8" w14:textId="77777777" w:rsidR="00A77B3E" w:rsidRDefault="00A77B3E">
            <w:pPr>
              <w:spacing w:before="100"/>
              <w:rPr>
                <w:color w:val="000000"/>
              </w:rPr>
            </w:pPr>
          </w:p>
          <w:p w14:paraId="5222BDB4" w14:textId="77777777" w:rsidR="00A77B3E" w:rsidRDefault="00000000">
            <w:pPr>
              <w:spacing w:before="100"/>
              <w:rPr>
                <w:color w:val="000000"/>
              </w:rPr>
            </w:pPr>
            <w:r>
              <w:rPr>
                <w:color w:val="000000"/>
              </w:rPr>
              <w:lastRenderedPageBreak/>
              <w:t xml:space="preserve">The plan also commits to working toward ending dereliction and vacancy. "Empty and neglected buildings are an eyesore, they undermine pride of place, encourage antisocial behaviour and impact on the local economy. They are a missed opportunity to provide homes and </w:t>
            </w:r>
            <w:proofErr w:type="spellStart"/>
            <w:r>
              <w:rPr>
                <w:color w:val="000000"/>
              </w:rPr>
              <w:t>revitalise</w:t>
            </w:r>
            <w:proofErr w:type="spellEnd"/>
            <w:r>
              <w:rPr>
                <w:color w:val="000000"/>
              </w:rPr>
              <w:t xml:space="preserve"> the communities where they are found. The re-use and regeneration of vacant and derelict properties in our city </w:t>
            </w:r>
            <w:proofErr w:type="spellStart"/>
            <w:r>
              <w:rPr>
                <w:color w:val="000000"/>
              </w:rPr>
              <w:t>centres</w:t>
            </w:r>
            <w:proofErr w:type="spellEnd"/>
            <w:r>
              <w:rPr>
                <w:color w:val="000000"/>
              </w:rPr>
              <w:t xml:space="preserve"> provide much needed housing and transforms and </w:t>
            </w:r>
            <w:proofErr w:type="spellStart"/>
            <w:r>
              <w:rPr>
                <w:color w:val="000000"/>
              </w:rPr>
              <w:t>revitalises</w:t>
            </w:r>
            <w:proofErr w:type="spellEnd"/>
            <w:r>
              <w:rPr>
                <w:color w:val="000000"/>
              </w:rPr>
              <w:t xml:space="preserve"> communities...homes should not be allowed to lie empty and derelict while housing need is so critical".</w:t>
            </w:r>
          </w:p>
          <w:p w14:paraId="19D495A2" w14:textId="77777777" w:rsidR="00A77B3E" w:rsidRDefault="00A77B3E">
            <w:pPr>
              <w:spacing w:before="100"/>
              <w:rPr>
                <w:color w:val="000000"/>
              </w:rPr>
            </w:pPr>
          </w:p>
          <w:p w14:paraId="0B7D2944" w14:textId="77777777" w:rsidR="00A77B3E" w:rsidRDefault="00000000">
            <w:pPr>
              <w:spacing w:before="100"/>
              <w:rPr>
                <w:color w:val="000000"/>
              </w:rPr>
            </w:pPr>
            <w:r>
              <w:rPr>
                <w:color w:val="000000"/>
              </w:rPr>
              <w:t>The Housing Advisory Board recommendations to the European Commission, published on 20th November 2025, state that "we shouldn’t just rely on new buildings for more housing supply, particularly if it brings urban sprawl. The focus should first be on the efficient use of existing buildings and on urban regeneration, aware of the need to provide a social mix and avoid displacement in each area."</w:t>
            </w:r>
          </w:p>
          <w:p w14:paraId="5BA4DF22" w14:textId="77777777" w:rsidR="00A77B3E" w:rsidRDefault="00A77B3E">
            <w:pPr>
              <w:spacing w:before="100"/>
              <w:rPr>
                <w:color w:val="000000"/>
              </w:rPr>
            </w:pPr>
          </w:p>
          <w:p w14:paraId="5F10F57D" w14:textId="77777777" w:rsidR="00A77B3E" w:rsidRDefault="00A77B3E">
            <w:pPr>
              <w:spacing w:before="100"/>
              <w:rPr>
                <w:color w:val="000000"/>
              </w:rPr>
            </w:pPr>
          </w:p>
          <w:p w14:paraId="28A6A9F5" w14:textId="77777777" w:rsidR="00A77B3E" w:rsidRDefault="00000000">
            <w:pPr>
              <w:spacing w:before="100"/>
              <w:rPr>
                <w:color w:val="000000"/>
              </w:rPr>
            </w:pPr>
            <w:r>
              <w:rPr>
                <w:color w:val="000000"/>
              </w:rPr>
              <w:t xml:space="preserve">Priority 2 and Priority 4 focus on addressing the following key challenges in the </w:t>
            </w:r>
            <w:proofErr w:type="spellStart"/>
            <w:r>
              <w:rPr>
                <w:color w:val="000000"/>
              </w:rPr>
              <w:t>programme</w:t>
            </w:r>
            <w:proofErr w:type="spellEnd"/>
            <w:r>
              <w:rPr>
                <w:color w:val="000000"/>
              </w:rPr>
              <w:t xml:space="preserve"> area under PO2.</w:t>
            </w:r>
          </w:p>
          <w:p w14:paraId="1CD2E4E9" w14:textId="77777777" w:rsidR="00A77B3E" w:rsidRDefault="00A77B3E">
            <w:pPr>
              <w:spacing w:before="100"/>
              <w:rPr>
                <w:color w:val="000000"/>
              </w:rPr>
            </w:pPr>
          </w:p>
          <w:p w14:paraId="61A48E5E" w14:textId="77777777" w:rsidR="00A77B3E" w:rsidRDefault="00000000">
            <w:pPr>
              <w:spacing w:before="100"/>
              <w:rPr>
                <w:color w:val="000000"/>
              </w:rPr>
            </w:pPr>
            <w:r>
              <w:rPr>
                <w:rStyle w:val="Strong"/>
                <w:b w:val="0"/>
                <w:color w:val="000000"/>
              </w:rPr>
              <w:t>(</w:t>
            </w:r>
            <w:proofErr w:type="spellStart"/>
            <w:r>
              <w:rPr>
                <w:rStyle w:val="Strong"/>
                <w:b w:val="0"/>
                <w:color w:val="000000"/>
              </w:rPr>
              <w:t>i</w:t>
            </w:r>
            <w:proofErr w:type="spellEnd"/>
            <w:r>
              <w:rPr>
                <w:rStyle w:val="Strong"/>
                <w:b w:val="0"/>
                <w:color w:val="000000"/>
              </w:rPr>
              <w:t>) Improving the energy efficiency of residential homes and reducing the risk and prevalence of energy poverty in our regions</w:t>
            </w:r>
          </w:p>
          <w:p w14:paraId="00F6902F" w14:textId="77777777" w:rsidR="00A77B3E" w:rsidRDefault="00000000">
            <w:pPr>
              <w:spacing w:before="100"/>
              <w:rPr>
                <w:color w:val="000000"/>
              </w:rPr>
            </w:pPr>
            <w:r>
              <w:rPr>
                <w:color w:val="000000"/>
              </w:rPr>
              <w:t xml:space="preserve">The </w:t>
            </w:r>
            <w:proofErr w:type="spellStart"/>
            <w:r>
              <w:rPr>
                <w:color w:val="000000"/>
              </w:rPr>
              <w:t>programme</w:t>
            </w:r>
            <w:proofErr w:type="spellEnd"/>
            <w:r>
              <w:rPr>
                <w:color w:val="000000"/>
              </w:rPr>
              <w:t xml:space="preserve"> will focus on scaling up public investment in energy efficiency renovations for owner-occupied homes of lower-income households who meet the defined eligibility criteria and who are in, or are vulnerable to, energy poverty.</w:t>
            </w:r>
          </w:p>
          <w:p w14:paraId="0E05FAFF" w14:textId="77777777" w:rsidR="00A77B3E" w:rsidRDefault="00A77B3E">
            <w:pPr>
              <w:spacing w:before="100"/>
              <w:rPr>
                <w:color w:val="000000"/>
              </w:rPr>
            </w:pPr>
          </w:p>
          <w:p w14:paraId="167ACAA7" w14:textId="77777777" w:rsidR="00A77B3E" w:rsidRDefault="00000000">
            <w:pPr>
              <w:spacing w:before="100"/>
              <w:rPr>
                <w:color w:val="000000"/>
              </w:rPr>
            </w:pPr>
            <w:r>
              <w:rPr>
                <w:rStyle w:val="Strong"/>
                <w:b w:val="0"/>
                <w:color w:val="000000"/>
              </w:rPr>
              <w:t>(ii) Increasing the supply of sustainable, affordable and energy efficient rental homes in our cities and regions</w:t>
            </w:r>
          </w:p>
          <w:p w14:paraId="7FBD289E" w14:textId="77777777" w:rsidR="00A77B3E" w:rsidRDefault="00000000">
            <w:pPr>
              <w:spacing w:before="100"/>
              <w:rPr>
                <w:color w:val="000000"/>
              </w:rPr>
            </w:pPr>
            <w:proofErr w:type="spellStart"/>
            <w:r>
              <w:rPr>
                <w:color w:val="000000"/>
              </w:rPr>
              <w:t>Recognising</w:t>
            </w:r>
            <w:proofErr w:type="spellEnd"/>
            <w:r>
              <w:rPr>
                <w:color w:val="000000"/>
              </w:rPr>
              <w:t xml:space="preserve"> that there is an existing range of supports and initiatives available to support affordable housing investment, the </w:t>
            </w:r>
            <w:proofErr w:type="spellStart"/>
            <w:r>
              <w:rPr>
                <w:color w:val="000000"/>
              </w:rPr>
              <w:t>programme</w:t>
            </w:r>
            <w:proofErr w:type="spellEnd"/>
            <w:r>
              <w:rPr>
                <w:color w:val="000000"/>
              </w:rPr>
              <w:t xml:space="preserve"> seeks to address an investment gap that is not currently provided for under existing supports. The </w:t>
            </w:r>
            <w:proofErr w:type="spellStart"/>
            <w:r>
              <w:rPr>
                <w:color w:val="000000"/>
              </w:rPr>
              <w:t>programme</w:t>
            </w:r>
            <w:proofErr w:type="spellEnd"/>
            <w:r>
              <w:rPr>
                <w:color w:val="000000"/>
              </w:rPr>
              <w:t xml:space="preserve"> will support local authorities to repurpose vacant residential or non-residential buildings into affordable rental units, delivered and managed under the remit of the local authorities, focusing initially on the four cities in the </w:t>
            </w:r>
            <w:proofErr w:type="spellStart"/>
            <w:r>
              <w:rPr>
                <w:color w:val="000000"/>
              </w:rPr>
              <w:t>programme</w:t>
            </w:r>
            <w:proofErr w:type="spellEnd"/>
            <w:r>
              <w:rPr>
                <w:color w:val="000000"/>
              </w:rPr>
              <w:t xml:space="preserve"> area.</w:t>
            </w:r>
          </w:p>
          <w:p w14:paraId="16CC2395" w14:textId="77777777" w:rsidR="00A77B3E" w:rsidRDefault="00000000">
            <w:pPr>
              <w:spacing w:before="100"/>
              <w:rPr>
                <w:color w:val="000000"/>
              </w:rPr>
            </w:pPr>
            <w:r>
              <w:rPr>
                <w:color w:val="000000"/>
              </w:rPr>
              <w:t>Investment under PO2 will complement investment under PO5. It will also complement actions under both the NRRP and the ESF+ programmes that focus on building capacity within the retrofit sector. For example, the SOLAS Green Skills Action Programme is funded, for different periods, by the NRRP and the ESF+ respectively.</w:t>
            </w:r>
          </w:p>
          <w:p w14:paraId="307DD5D5" w14:textId="77777777" w:rsidR="00A77B3E" w:rsidRDefault="00A77B3E">
            <w:pPr>
              <w:spacing w:before="100"/>
              <w:rPr>
                <w:color w:val="000000"/>
              </w:rPr>
            </w:pPr>
          </w:p>
          <w:p w14:paraId="668129E3" w14:textId="77777777" w:rsidR="00A77B3E" w:rsidRDefault="00A77B3E">
            <w:pPr>
              <w:spacing w:before="100"/>
              <w:rPr>
                <w:color w:val="000000"/>
              </w:rPr>
            </w:pPr>
          </w:p>
          <w:p w14:paraId="0430DDAF" w14:textId="77777777" w:rsidR="00A77B3E" w:rsidRDefault="00000000">
            <w:pPr>
              <w:spacing w:before="100"/>
              <w:rPr>
                <w:color w:val="000000"/>
              </w:rPr>
            </w:pPr>
            <w:r>
              <w:rPr>
                <w:rStyle w:val="Strong"/>
                <w:b w:val="0"/>
                <w:color w:val="000000"/>
              </w:rPr>
              <w:t>Policy Objective 5 [‘PO5’] “A Europe closer to citizens by fostering the sustainable and integrated development of all types of territories and local initiatives”.</w:t>
            </w:r>
          </w:p>
          <w:p w14:paraId="61B52B7C" w14:textId="77777777" w:rsidR="00A77B3E" w:rsidRDefault="00000000">
            <w:pPr>
              <w:spacing w:before="100"/>
              <w:rPr>
                <w:color w:val="000000"/>
              </w:rPr>
            </w:pPr>
            <w:r>
              <w:rPr>
                <w:rStyle w:val="Emphasis"/>
                <w:i w:val="0"/>
                <w:color w:val="000000"/>
              </w:rPr>
              <w:t>Priority 3: SUSTAINABLE AND INTEGRATED URBAN DEVELOPMENT</w:t>
            </w:r>
          </w:p>
          <w:p w14:paraId="7E5214A0" w14:textId="77777777" w:rsidR="00A77B3E" w:rsidRDefault="00A77B3E">
            <w:pPr>
              <w:spacing w:before="100"/>
              <w:rPr>
                <w:color w:val="000000"/>
              </w:rPr>
            </w:pPr>
          </w:p>
          <w:p w14:paraId="2DEE4380" w14:textId="77777777" w:rsidR="00A77B3E" w:rsidRDefault="00000000">
            <w:pPr>
              <w:spacing w:before="100"/>
              <w:rPr>
                <w:color w:val="000000"/>
              </w:rPr>
            </w:pPr>
            <w:r>
              <w:rPr>
                <w:color w:val="000000"/>
              </w:rPr>
              <w:t xml:space="preserve">Cities and urban </w:t>
            </w:r>
            <w:proofErr w:type="spellStart"/>
            <w:r>
              <w:rPr>
                <w:color w:val="000000"/>
              </w:rPr>
              <w:t>centres</w:t>
            </w:r>
            <w:proofErr w:type="spellEnd"/>
            <w:r>
              <w:rPr>
                <w:color w:val="000000"/>
              </w:rPr>
              <w:t xml:space="preserve"> are considered both the source of and the solution to many of the key challenges the world is facing today such as environmental issues and climate change, digital revolution, demographic changes, migration and social inequalities. In Europe, urban areas are home to over two-thirds of the EU's population, they account for about 80 % of energy use and generate up to 85 % of Europe's GDP. Urban areas are also the engines of the European economy, hubs of creativity and innovation. They add value and act as </w:t>
            </w:r>
            <w:proofErr w:type="spellStart"/>
            <w:r>
              <w:rPr>
                <w:color w:val="000000"/>
              </w:rPr>
              <w:t>centres</w:t>
            </w:r>
            <w:proofErr w:type="spellEnd"/>
            <w:r>
              <w:rPr>
                <w:color w:val="000000"/>
              </w:rPr>
              <w:t xml:space="preserve"> contributing to the development of their wider regions and rural hinterlands and contribute balanced territorial development of the EU but face significant challenges.</w:t>
            </w:r>
          </w:p>
          <w:p w14:paraId="28A04544" w14:textId="77777777" w:rsidR="00A77B3E" w:rsidRDefault="00A77B3E">
            <w:pPr>
              <w:spacing w:before="100"/>
              <w:rPr>
                <w:color w:val="000000"/>
              </w:rPr>
            </w:pPr>
          </w:p>
          <w:p w14:paraId="278E0B49" w14:textId="77777777" w:rsidR="00A77B3E" w:rsidRDefault="00000000">
            <w:pPr>
              <w:spacing w:before="100"/>
              <w:rPr>
                <w:color w:val="000000"/>
              </w:rPr>
            </w:pPr>
            <w:r>
              <w:rPr>
                <w:color w:val="000000"/>
              </w:rPr>
              <w:t>Reg (EU) 2021/1058 [‘the ERDF regulation’] provides for an increased focus on sustainable urban development through the support of integrated strategies to more effectively tackle the economic, environmental, climate, demographic and social challenges affecting urban areas, with a minimum target of 8% of the ERDF resources allocated at national level for that purpose.</w:t>
            </w:r>
          </w:p>
          <w:p w14:paraId="0F53B13C" w14:textId="77777777" w:rsidR="00A77B3E" w:rsidRDefault="00A77B3E">
            <w:pPr>
              <w:spacing w:before="100"/>
              <w:rPr>
                <w:color w:val="000000"/>
              </w:rPr>
            </w:pPr>
          </w:p>
          <w:p w14:paraId="18C309BD" w14:textId="77777777" w:rsidR="00A77B3E" w:rsidRDefault="00000000">
            <w:pPr>
              <w:spacing w:before="100"/>
              <w:rPr>
                <w:color w:val="000000"/>
              </w:rPr>
            </w:pPr>
            <w:r>
              <w:rPr>
                <w:color w:val="000000"/>
              </w:rPr>
              <w:t>Project Ireland 2040 is the overarching policy and planning framework for the social, economic and cultural development of Ireland. It includes a detailed capital investment plan for the period 2021 to 2030, the NDP, and the 20-year National Planning Framework (NPF). In line with the NPF and NDP, the RSES and Metropolitan Area Strategic Plans (MASPs) / Strategic Growth Centre Plans set a 12-year statutory strategic planning and economic development framework for future economic, spatial, and social development of the Regions in pursuit of balanced regional development.</w:t>
            </w:r>
          </w:p>
          <w:p w14:paraId="0D596151" w14:textId="77777777" w:rsidR="00A77B3E" w:rsidRDefault="00A77B3E">
            <w:pPr>
              <w:spacing w:before="100"/>
              <w:rPr>
                <w:color w:val="000000"/>
              </w:rPr>
            </w:pPr>
          </w:p>
          <w:p w14:paraId="38F7291B" w14:textId="77777777" w:rsidR="00A77B3E" w:rsidRDefault="00000000">
            <w:pPr>
              <w:spacing w:before="100"/>
              <w:rPr>
                <w:color w:val="000000"/>
              </w:rPr>
            </w:pPr>
            <w:r>
              <w:rPr>
                <w:color w:val="000000"/>
              </w:rPr>
              <w:t xml:space="preserve">Each RSES </w:t>
            </w:r>
            <w:proofErr w:type="spellStart"/>
            <w:r>
              <w:rPr>
                <w:color w:val="000000"/>
              </w:rPr>
              <w:t>recognises</w:t>
            </w:r>
            <w:proofErr w:type="spellEnd"/>
            <w:r>
              <w:rPr>
                <w:color w:val="000000"/>
              </w:rPr>
              <w:t xml:space="preserve"> the strategic role played by our urban settlements, building on Cities and Metropolitan Areas, Regional Growth </w:t>
            </w:r>
            <w:proofErr w:type="spellStart"/>
            <w:r>
              <w:rPr>
                <w:color w:val="000000"/>
              </w:rPr>
              <w:t>Centres</w:t>
            </w:r>
            <w:proofErr w:type="spellEnd"/>
            <w:r>
              <w:rPr>
                <w:color w:val="000000"/>
              </w:rPr>
              <w:t xml:space="preserve">, Key Towns and our urban settlement networks as </w:t>
            </w:r>
            <w:proofErr w:type="spellStart"/>
            <w:r>
              <w:rPr>
                <w:color w:val="000000"/>
              </w:rPr>
              <w:t>centres</w:t>
            </w:r>
            <w:proofErr w:type="spellEnd"/>
            <w:r>
              <w:rPr>
                <w:color w:val="000000"/>
              </w:rPr>
              <w:t xml:space="preserve"> for population and employment growth to drive economic growth in the Regions. Regional Policy Objectives in each RSES support active land management and actions to address sustainable urban development, and the principles of ‘Compact Growth’.</w:t>
            </w:r>
          </w:p>
          <w:p w14:paraId="7CF0D1FD" w14:textId="77777777" w:rsidR="00A77B3E" w:rsidRDefault="00A77B3E">
            <w:pPr>
              <w:spacing w:before="100"/>
              <w:rPr>
                <w:color w:val="000000"/>
              </w:rPr>
            </w:pPr>
          </w:p>
          <w:p w14:paraId="3DB4C74E" w14:textId="77777777" w:rsidR="00A77B3E" w:rsidRDefault="00000000">
            <w:pPr>
              <w:spacing w:before="100"/>
              <w:rPr>
                <w:color w:val="000000"/>
              </w:rPr>
            </w:pPr>
            <w:r>
              <w:rPr>
                <w:color w:val="000000"/>
              </w:rPr>
              <w:t>The Government’s overarching strategy for the renewal and regeneration of towns in Ireland - ‘Town Centre First – A Policy Approach for Irish Towns’ was formally launched in February 2022. The policy was a priority commitment of the ‘Programme for Government - Our Shared Future’ and was developed jointly by the Department of Housing, Local Government and Heritage (DHLGH) and Department of Rural and Community Development (DRCD).</w:t>
            </w:r>
          </w:p>
          <w:p w14:paraId="5B4EC07E" w14:textId="77777777" w:rsidR="00A77B3E" w:rsidRDefault="00A77B3E">
            <w:pPr>
              <w:spacing w:before="100"/>
              <w:rPr>
                <w:color w:val="000000"/>
              </w:rPr>
            </w:pPr>
          </w:p>
          <w:p w14:paraId="773B94B6" w14:textId="77777777" w:rsidR="00A77B3E" w:rsidRDefault="00000000">
            <w:pPr>
              <w:spacing w:before="100"/>
              <w:rPr>
                <w:color w:val="000000"/>
              </w:rPr>
            </w:pPr>
            <w:r>
              <w:rPr>
                <w:color w:val="000000"/>
              </w:rPr>
              <w:t>‘Housing for All’ (</w:t>
            </w:r>
            <w:proofErr w:type="spellStart"/>
            <w:r>
              <w:rPr>
                <w:color w:val="000000"/>
              </w:rPr>
              <w:t>HfA</w:t>
            </w:r>
            <w:proofErr w:type="spellEnd"/>
            <w:r>
              <w:rPr>
                <w:color w:val="000000"/>
              </w:rPr>
              <w:t xml:space="preserve"> 2021) is the Government’s ten-year Housing Plan for Ireland comprising four pillars to deliver increased housing provision nationally. Pillar number 4 targets measures to increase the use of existing </w:t>
            </w:r>
            <w:proofErr w:type="spellStart"/>
            <w:r>
              <w:rPr>
                <w:color w:val="000000"/>
              </w:rPr>
              <w:t>under-utilised</w:t>
            </w:r>
            <w:proofErr w:type="spellEnd"/>
            <w:r>
              <w:rPr>
                <w:color w:val="000000"/>
              </w:rPr>
              <w:t xml:space="preserve"> building stock to create new homes. The pillar specifically references harnessing the ERDF to address clear problems of dereliction and vacancy in our towns and to provide measures to regenerate them into viable uses as part of the TCF policy (Objective 19.4 of </w:t>
            </w:r>
            <w:proofErr w:type="spellStart"/>
            <w:r>
              <w:rPr>
                <w:color w:val="000000"/>
              </w:rPr>
              <w:t>HfA</w:t>
            </w:r>
            <w:proofErr w:type="spellEnd"/>
            <w:r>
              <w:rPr>
                <w:color w:val="000000"/>
              </w:rPr>
              <w:t>).</w:t>
            </w:r>
          </w:p>
          <w:p w14:paraId="43C4FC62" w14:textId="77777777" w:rsidR="00A77B3E" w:rsidRDefault="00A77B3E">
            <w:pPr>
              <w:spacing w:before="100"/>
              <w:rPr>
                <w:color w:val="000000"/>
              </w:rPr>
            </w:pPr>
          </w:p>
          <w:p w14:paraId="77131596" w14:textId="77777777" w:rsidR="00A77B3E" w:rsidRDefault="00000000">
            <w:pPr>
              <w:spacing w:before="100"/>
              <w:rPr>
                <w:color w:val="000000"/>
              </w:rPr>
            </w:pPr>
            <w:r>
              <w:rPr>
                <w:color w:val="000000"/>
              </w:rPr>
              <w:t>The aesthetic decline of the towns in our region are a blight both visually and economically, preventing or limiting strategic measures in public investment aimed at the wider regeneration of the urban area or town involved.</w:t>
            </w:r>
          </w:p>
          <w:p w14:paraId="32302177" w14:textId="77777777" w:rsidR="00A77B3E" w:rsidRDefault="00A77B3E">
            <w:pPr>
              <w:spacing w:before="100"/>
              <w:rPr>
                <w:color w:val="000000"/>
              </w:rPr>
            </w:pPr>
          </w:p>
          <w:p w14:paraId="7B80A360" w14:textId="77777777" w:rsidR="00A77B3E" w:rsidRDefault="00000000">
            <w:pPr>
              <w:spacing w:before="100"/>
              <w:rPr>
                <w:color w:val="000000"/>
              </w:rPr>
            </w:pPr>
            <w:r>
              <w:rPr>
                <w:color w:val="000000"/>
              </w:rPr>
              <w:t xml:space="preserve">Several reports and sources have highlighted the extent of the urban degeneration. For example, the </w:t>
            </w:r>
            <w:proofErr w:type="spellStart"/>
            <w:r>
              <w:rPr>
                <w:color w:val="000000"/>
              </w:rPr>
              <w:t>GeoDirectory</w:t>
            </w:r>
            <w:proofErr w:type="spellEnd"/>
            <w:r>
              <w:rPr>
                <w:color w:val="000000"/>
              </w:rPr>
              <w:t xml:space="preserve"> Residential and Commercial Buildings database captures vacancy rates for residential and commercial properties, along with a NACE classification of the economic use of commercial properties as well as information on derelict dwellings (updated quarterly). The latest </w:t>
            </w:r>
            <w:proofErr w:type="spellStart"/>
            <w:r>
              <w:rPr>
                <w:color w:val="000000"/>
              </w:rPr>
              <w:t>GeoDirectory</w:t>
            </w:r>
            <w:proofErr w:type="spellEnd"/>
            <w:r>
              <w:rPr>
                <w:color w:val="000000"/>
              </w:rPr>
              <w:t xml:space="preserve"> Commercial Property Report found an overall commercial vacancy rate of 13.6% in Q2 2021 and some 90,000 of the overall stock of just over 2 million homes to be vacant, and a further 22,000 properties are derelict.</w:t>
            </w:r>
          </w:p>
          <w:p w14:paraId="11088F37" w14:textId="77777777" w:rsidR="00A77B3E" w:rsidRDefault="00A77B3E">
            <w:pPr>
              <w:spacing w:before="100"/>
              <w:rPr>
                <w:color w:val="000000"/>
              </w:rPr>
            </w:pPr>
          </w:p>
          <w:p w14:paraId="106AF5D8" w14:textId="77777777" w:rsidR="00A77B3E" w:rsidRDefault="00000000">
            <w:pPr>
              <w:spacing w:before="100"/>
              <w:rPr>
                <w:color w:val="000000"/>
              </w:rPr>
            </w:pPr>
            <w:r>
              <w:rPr>
                <w:color w:val="000000"/>
              </w:rPr>
              <w:t xml:space="preserve">An integrated and strategic approach to the regeneration of towns in the </w:t>
            </w:r>
            <w:proofErr w:type="spellStart"/>
            <w:r>
              <w:rPr>
                <w:color w:val="000000"/>
              </w:rPr>
              <w:t>programme</w:t>
            </w:r>
            <w:proofErr w:type="spellEnd"/>
            <w:r>
              <w:rPr>
                <w:color w:val="000000"/>
              </w:rPr>
              <w:t xml:space="preserve"> area is required to address complex societal problems, taking into consideration a range of recommended initiatives to progress the achievement of national, regional and local objectives for urban regeneration and compact growth. This approach is in line with the New European Bauhaus initiative and offers the potential to realize beautiful, sustainable, and inclusive projects through the Programme. An allocation of 15% of total </w:t>
            </w:r>
            <w:proofErr w:type="spellStart"/>
            <w:r>
              <w:rPr>
                <w:color w:val="000000"/>
              </w:rPr>
              <w:t>programme</w:t>
            </w:r>
            <w:proofErr w:type="spellEnd"/>
            <w:r>
              <w:rPr>
                <w:color w:val="000000"/>
              </w:rPr>
              <w:t xml:space="preserve"> resources has been made to PO5 to reflect the scale of investment required to address the challenge of urban regeneration within towns in the </w:t>
            </w:r>
            <w:proofErr w:type="spellStart"/>
            <w:r>
              <w:rPr>
                <w:color w:val="000000"/>
              </w:rPr>
              <w:t>programme</w:t>
            </w:r>
            <w:proofErr w:type="spellEnd"/>
            <w:r>
              <w:rPr>
                <w:color w:val="000000"/>
              </w:rPr>
              <w:t xml:space="preserve"> area.</w:t>
            </w:r>
          </w:p>
          <w:p w14:paraId="7266102B" w14:textId="77777777" w:rsidR="00A77B3E" w:rsidRDefault="00000000">
            <w:pPr>
              <w:spacing w:before="100"/>
              <w:rPr>
                <w:color w:val="000000"/>
              </w:rPr>
            </w:pPr>
            <w:r>
              <w:rPr>
                <w:color w:val="000000"/>
              </w:rPr>
              <w:lastRenderedPageBreak/>
              <w:t>The investment under PO5 will be complemented by new investment under PO2 on sustainable and affordable housing, introduced following the Mid-term Review in 2025.</w:t>
            </w:r>
          </w:p>
          <w:p w14:paraId="5087445F" w14:textId="77777777" w:rsidR="00A77B3E" w:rsidRDefault="00A77B3E">
            <w:pPr>
              <w:spacing w:before="100"/>
              <w:rPr>
                <w:color w:val="000000"/>
              </w:rPr>
            </w:pPr>
          </w:p>
          <w:p w14:paraId="7056C900" w14:textId="77777777" w:rsidR="00A77B3E" w:rsidRDefault="00000000">
            <w:pPr>
              <w:spacing w:before="100"/>
              <w:rPr>
                <w:color w:val="000000"/>
              </w:rPr>
            </w:pPr>
            <w:r>
              <w:rPr>
                <w:color w:val="000000"/>
              </w:rPr>
              <w:t>===========================</w:t>
            </w:r>
          </w:p>
          <w:p w14:paraId="4C69F2B2" w14:textId="77777777" w:rsidR="00A77B3E" w:rsidRDefault="00A77B3E">
            <w:pPr>
              <w:spacing w:before="100"/>
              <w:rPr>
                <w:color w:val="000000"/>
              </w:rPr>
            </w:pPr>
          </w:p>
          <w:p w14:paraId="17906D82" w14:textId="77777777" w:rsidR="00A77B3E" w:rsidRDefault="00A77B3E">
            <w:pPr>
              <w:spacing w:before="100"/>
              <w:rPr>
                <w:color w:val="000000"/>
              </w:rPr>
            </w:pPr>
          </w:p>
          <w:p w14:paraId="1AC5DBB6" w14:textId="77777777" w:rsidR="00A77B3E" w:rsidRDefault="00000000">
            <w:pPr>
              <w:spacing w:before="100"/>
              <w:rPr>
                <w:color w:val="000000"/>
              </w:rPr>
            </w:pPr>
            <w:r>
              <w:rPr>
                <w:color w:val="000000"/>
              </w:rPr>
              <w:t xml:space="preserve">This is an ambitious Programme and will require significant capacity building to ensure strong governance and effective </w:t>
            </w:r>
            <w:proofErr w:type="spellStart"/>
            <w:r>
              <w:rPr>
                <w:color w:val="000000"/>
              </w:rPr>
              <w:t>programme</w:t>
            </w:r>
            <w:proofErr w:type="spellEnd"/>
            <w:r>
              <w:rPr>
                <w:color w:val="000000"/>
              </w:rPr>
              <w:t xml:space="preserve"> implementation. The MA has worked closely with our intermediate bodies, e.g., Enterprise Ireland, Science Foundation Ireland (now Research Ireland) and the Higher Education Authority, in the design of the Programme and will continue to work with them in the design and implementation of effective and efficient Management and Control Systems. Technical Assistance will be used: (</w:t>
            </w:r>
            <w:proofErr w:type="spellStart"/>
            <w:r>
              <w:rPr>
                <w:color w:val="000000"/>
              </w:rPr>
              <w:t>i</w:t>
            </w:r>
            <w:proofErr w:type="spellEnd"/>
            <w:r>
              <w:rPr>
                <w:color w:val="000000"/>
              </w:rPr>
              <w:t>) to support skills development for beneficiaries, intermediate bodies, partners and the MA; (ii) to procure external expertise when required; (iii) to develop the electronic data exchange and collection systems required under the CPR; and (iv) to retain additional staff to ensure that Managing Authorities have sufficient resources to manage the Regional Programmes, as recommended in CR2019.</w:t>
            </w:r>
          </w:p>
          <w:p w14:paraId="338A9389" w14:textId="77777777" w:rsidR="00A77B3E" w:rsidRDefault="00A77B3E">
            <w:pPr>
              <w:spacing w:before="100"/>
              <w:rPr>
                <w:color w:val="000000"/>
                <w:sz w:val="6"/>
              </w:rPr>
            </w:pPr>
          </w:p>
          <w:p w14:paraId="664AAE02" w14:textId="77777777" w:rsidR="00A77B3E" w:rsidRDefault="00A77B3E">
            <w:pPr>
              <w:spacing w:before="100"/>
              <w:rPr>
                <w:color w:val="000000"/>
                <w:sz w:val="6"/>
              </w:rPr>
            </w:pPr>
          </w:p>
        </w:tc>
      </w:tr>
    </w:tbl>
    <w:p w14:paraId="2966642D" w14:textId="77777777" w:rsidR="00A77B3E" w:rsidRDefault="00A77B3E">
      <w:pPr>
        <w:spacing w:before="100"/>
        <w:rPr>
          <w:color w:val="000000"/>
        </w:rPr>
        <w:sectPr w:rsidR="00A77B3E">
          <w:headerReference w:type="even" r:id="rId7"/>
          <w:headerReference w:type="default" r:id="rId8"/>
          <w:footerReference w:type="even" r:id="rId9"/>
          <w:footerReference w:type="default" r:id="rId10"/>
          <w:headerReference w:type="first" r:id="rId11"/>
          <w:footerReference w:type="first" r:id="rId12"/>
          <w:pgSz w:w="11906" w:h="16838"/>
          <w:pgMar w:top="720" w:right="936" w:bottom="864" w:left="720" w:header="0" w:footer="72" w:gutter="0"/>
          <w:cols w:space="708"/>
          <w:noEndnote/>
          <w:docGrid w:linePitch="360"/>
        </w:sectPr>
      </w:pPr>
    </w:p>
    <w:p w14:paraId="581DCEAA" w14:textId="77777777" w:rsidR="00A77B3E" w:rsidRDefault="00000000">
      <w:pPr>
        <w:spacing w:before="100"/>
        <w:rPr>
          <w:color w:val="000000"/>
        </w:rPr>
      </w:pPr>
      <w:r>
        <w:rPr>
          <w:color w:val="000000"/>
        </w:rPr>
        <w:lastRenderedPageBreak/>
        <w:t>1. Programme strategy: main challenges and policy responses</w:t>
      </w:r>
    </w:p>
    <w:p w14:paraId="0A8E3211" w14:textId="77777777" w:rsidR="00A77B3E" w:rsidRDefault="00A77B3E">
      <w:pPr>
        <w:spacing w:before="100"/>
        <w:rPr>
          <w:color w:val="000000"/>
          <w:sz w:val="0"/>
        </w:rPr>
      </w:pPr>
    </w:p>
    <w:p w14:paraId="0C2375A5" w14:textId="77777777" w:rsidR="00A77B3E" w:rsidRDefault="00000000">
      <w:pPr>
        <w:pStyle w:val="Heading2"/>
        <w:spacing w:before="100" w:after="0"/>
        <w:rPr>
          <w:rFonts w:ascii="TimesNewRoman" w:eastAsia="TimesNewRoman" w:hAnsi="TimesNewRoman" w:cs="TimesNewRoman"/>
          <w:b w:val="0"/>
          <w:i w:val="0"/>
          <w:color w:val="000000"/>
          <w:sz w:val="24"/>
        </w:rPr>
      </w:pPr>
      <w:bookmarkStart w:id="1" w:name="_Toc256000158"/>
      <w:r>
        <w:rPr>
          <w:rFonts w:ascii="TimesNewRoman" w:eastAsia="TimesNewRoman" w:hAnsi="TimesNewRoman" w:cs="TimesNewRoman"/>
          <w:b w:val="0"/>
          <w:i w:val="0"/>
          <w:color w:val="000000"/>
          <w:sz w:val="24"/>
        </w:rPr>
        <w:t>Table 1</w:t>
      </w:r>
      <w:bookmarkEnd w:id="1"/>
    </w:p>
    <w:p w14:paraId="4764E8A6"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5057"/>
        <w:gridCol w:w="5058"/>
      </w:tblGrid>
      <w:tr w:rsidR="00B82D50" w14:paraId="122739A5" w14:textId="77777777">
        <w:trPr>
          <w:trHeight w:val="160"/>
          <w:tblHeader/>
        </w:trPr>
        <w:tc>
          <w:tcPr>
            <w:tcW w:w="16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3DFA81" w14:textId="77777777" w:rsidR="00A77B3E" w:rsidRDefault="00000000">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Policy objective or JTF specific objective</w:t>
            </w:r>
          </w:p>
        </w:tc>
        <w:tc>
          <w:tcPr>
            <w:tcW w:w="16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BFE44E" w14:textId="77777777" w:rsidR="00A77B3E" w:rsidRDefault="00000000">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Specific objective or dedicated priority *</w:t>
            </w:r>
          </w:p>
        </w:tc>
        <w:tc>
          <w:tcPr>
            <w:tcW w:w="16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A65C14" w14:textId="77777777" w:rsidR="00A77B3E" w:rsidRDefault="00000000">
            <w:pPr>
              <w:spacing w:before="100"/>
              <w:jc w:val="center"/>
              <w:rPr>
                <w:rFonts w:ascii="TimesNewRoman" w:eastAsia="TimesNewRoman" w:hAnsi="TimesNewRoman" w:cs="TimesNewRoman"/>
                <w:color w:val="000000"/>
              </w:rPr>
            </w:pPr>
            <w:r>
              <w:rPr>
                <w:rFonts w:ascii="TimesNewRoman" w:eastAsia="TimesNewRoman" w:hAnsi="TimesNewRoman" w:cs="TimesNewRoman"/>
                <w:color w:val="000000"/>
              </w:rPr>
              <w:t>Justification (Summary)</w:t>
            </w:r>
          </w:p>
        </w:tc>
      </w:tr>
      <w:tr w:rsidR="00B82D50" w14:paraId="01F0DF4A" w14:textId="77777777">
        <w:trPr>
          <w:trHeight w:val="160"/>
        </w:trPr>
        <w:tc>
          <w:tcPr>
            <w:tcW w:w="16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DB224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 A more competitive and smarter Europe by promoting innovative and smart economic transformation and regional ICT connectivity</w:t>
            </w:r>
          </w:p>
        </w:tc>
        <w:tc>
          <w:tcPr>
            <w:tcW w:w="165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BE74C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RSO1.1. Developing and enhancing research and innovation capacities and the uptake of advanced technologies</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93BE1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Ireland’s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Strategy high level strategic goals include using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to: improve research and innovation capacity in Ireland’s regions; encourage more regionally dispersed RD&amp;I, strengthen the enterprise base, and identify emerging areas of opportunity; increase the regional uptake of new advanced technologies; drive the development of skills needed for enhancing innovation activity; and encourage the </w:t>
            </w:r>
            <w:proofErr w:type="spellStart"/>
            <w:r>
              <w:rPr>
                <w:rFonts w:ascii="TimesNewRoman" w:eastAsia="TimesNewRoman" w:hAnsi="TimesNewRoman" w:cs="TimesNewRoman"/>
                <w:color w:val="000000"/>
              </w:rPr>
              <w:t>maximising</w:t>
            </w:r>
            <w:proofErr w:type="spellEnd"/>
            <w:r>
              <w:rPr>
                <w:rFonts w:ascii="TimesNewRoman" w:eastAsia="TimesNewRoman" w:hAnsi="TimesNewRoman" w:cs="TimesNewRoman"/>
                <w:color w:val="000000"/>
              </w:rPr>
              <w:t xml:space="preserve"> of sectoral strengths through clustering and the scaling of Ireland’s existing areas of research excellence. CR2019 identifies key priority investment areas for ERDF support under PO1 to effectively deliver on 2021-2027 Cohesion Policy. Investment is needed to enhance research and innovation capacities, strengthen innovation performance, </w:t>
            </w:r>
            <w:proofErr w:type="spellStart"/>
            <w:r>
              <w:rPr>
                <w:rFonts w:ascii="TimesNewRoman" w:eastAsia="TimesNewRoman" w:hAnsi="TimesNewRoman" w:cs="TimesNewRoman"/>
                <w:color w:val="000000"/>
              </w:rPr>
              <w:t>prioritise</w:t>
            </w:r>
            <w:proofErr w:type="spellEnd"/>
            <w:r>
              <w:rPr>
                <w:rFonts w:ascii="TimesNewRoman" w:eastAsia="TimesNewRoman" w:hAnsi="TimesNewRoman" w:cs="TimesNewRoman"/>
                <w:color w:val="000000"/>
              </w:rPr>
              <w:t xml:space="preserve">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areas, support clusters, and address regional differences in the research and development intensity. CR2020 states that relatively low levels of R&amp;D investment are a continuing concern. The independent Needs Analysis for ERDF and ESF+ in Ireland 2020 identified the need for investments to address the scale of regional disparities, measures to support an increase in R&amp;D expenditure, supports to increase collaboration between industry and the higher education sector and measures to promote Smart Regions. The Regional Spatial and Economic Strategies (RSES) for the Eastern &amp; </w:t>
            </w:r>
            <w:r>
              <w:rPr>
                <w:rFonts w:ascii="TimesNewRoman" w:eastAsia="TimesNewRoman" w:hAnsi="TimesNewRoman" w:cs="TimesNewRoman"/>
                <w:color w:val="000000"/>
              </w:rPr>
              <w:lastRenderedPageBreak/>
              <w:t xml:space="preserve">Midland Region (2019) and the Southern Region (2020) each identify developing the regions’ research and innovation capacity as a key strategic outcome. Each RSES emphasizes the importance of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to the development of the region’s research, innovation, enterprise and human capital levels and to address regional disparities. RSO1.1 will address the recommendations of the Country Reports, the independent Needs Analysis, the RSES policy objectives and the S3 high level strategic goals. </w:t>
            </w:r>
          </w:p>
        </w:tc>
      </w:tr>
      <w:tr w:rsidR="00B82D50" w14:paraId="3A5C23A2" w14:textId="77777777">
        <w:trPr>
          <w:trHeight w:val="160"/>
        </w:trPr>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B2C65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1. A more competitive and smarter Europe by promoting innovative and smart economic transformation and regional ICT connectivity</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6EE041"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RSO1.3. Enhancing sustainable growth and competitiveness of SMEs and job creation in SMEs, including by productive investments</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9DEB63"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Ireland’s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Strategy identifies leveraging and building on the analysis of Irish regions’ strengths and emerging areas of opportunity undertaken as part of the development of Ireland’s S3 and addressing gaps in existing regional innovation infrastructures and systems by supporting projects aligned with the nine Regional Enterprise Plans (REPs) as key to delivery on the S3 high level strategic goals of encouraging more regionally dispersed RD&amp;I, strengthening the enterprise base and identifying emerging areas of opportunity. Both regions in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area were selected by the European Commission to receive a Regional Innovation Valley (RIV) label. CR2019 identifies key priority investment areas for ERDF support under PO1 to effectively deliver on 2021-2027 Cohesion Policy. Investment is needed to enhance the competitiveness and growth of Irish-owned SMEs, strengthen innovation performance, </w:t>
            </w:r>
            <w:proofErr w:type="spellStart"/>
            <w:r>
              <w:rPr>
                <w:rFonts w:ascii="TimesNewRoman" w:eastAsia="TimesNewRoman" w:hAnsi="TimesNewRoman" w:cs="TimesNewRoman"/>
                <w:color w:val="000000"/>
              </w:rPr>
              <w:t>prioritise</w:t>
            </w:r>
            <w:proofErr w:type="spellEnd"/>
            <w:r>
              <w:rPr>
                <w:rFonts w:ascii="TimesNewRoman" w:eastAsia="TimesNewRoman" w:hAnsi="TimesNewRoman" w:cs="TimesNewRoman"/>
                <w:color w:val="000000"/>
              </w:rPr>
              <w:t xml:space="preserve">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areas, support clusters, and address regional differences in the research and development intensity. CR2020 acknowledges some progress with more to do. The </w:t>
            </w:r>
            <w:r>
              <w:rPr>
                <w:rFonts w:ascii="TimesNewRoman" w:eastAsia="TimesNewRoman" w:hAnsi="TimesNewRoman" w:cs="TimesNewRoman"/>
                <w:color w:val="000000"/>
              </w:rPr>
              <w:lastRenderedPageBreak/>
              <w:t xml:space="preserve">independent Needs Analysis for ERDF and ESF+ in Ireland 2020 identified the need for investments to address the scale of regional disparities, measures to support an increase in R&amp;D expenditure, supports to increase collaboration between industry and the higher education sector and measures to promote Smart Regions. The RSES for the Southern Region sets out an economic vision for the region based on “five economic principles of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clustering, placemaking for enterprise development, knowledge diffusion, and capacity building”. The RSES for the Eastern and Midland Region’s preferred economic strategy promotes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strategies based on identified strengths and competitive advantages, combined with cluster policies that promote economies of scale and network effects in certain locations”. RSO1.3 will address the recommendations of the Country Reports, the independent Needs Analysis, the RSES policy objectives, the S3 high level strategic goals, and the commitments made under the RIV initiative.</w:t>
            </w:r>
          </w:p>
        </w:tc>
      </w:tr>
      <w:tr w:rsidR="00B82D50" w14:paraId="162777BD" w14:textId="77777777">
        <w:trPr>
          <w:trHeight w:val="160"/>
        </w:trPr>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CFE2A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1. A more competitive and smarter Europe by promoting innovative and smart economic transformation and regional ICT connectivity</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36201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RSO1.6. Supporting investments contributing to the objectives of the Strategic Technologies for Europe Platform (STEP) referred to in Article 2 of Regulation (EU) 2024/795 of the European Parliament and of the Council</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79F7E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inclusion of actions under RSO1.6 is based on the outcome of the Mid-term Review and responds to Regulation (EU) 2025/1914 as regards specific measures to address strategic challenges in the context of the mid-term review. CR2024 noted that while Ireland’s competitiveness is strong, competitiveness challenges remain, including a high concentration of economic activity in a few multinational-dominated sectors that leaves Ireland exposed if there is a downturn in those sectors, and low levels of investment in research and </w:t>
            </w:r>
            <w:r>
              <w:rPr>
                <w:rFonts w:ascii="TimesNewRoman" w:eastAsia="TimesNewRoman" w:hAnsi="TimesNewRoman" w:cs="TimesNewRoman"/>
                <w:color w:val="000000"/>
              </w:rPr>
              <w:lastRenderedPageBreak/>
              <w:t xml:space="preserve">development that hold back innovation, productivity and growth, especially in the domestic industry. CSR2024 recommends that Ireland considers the opportunities provided by the STEP initiative to improve competitiveness (Recommendation 2), a message that is repeated in CSR2025, building, where appropriate, on the opportunities offered by the mid-term review (Recommendation 2). STEP delivers on recommendations from the Draghi report. It supports sectors like artificial intelligence, cybersecurity, and clean energy to boost innovation and economic growth by supporting the development and manufacturing of critical technologies, safeguarding and strengthening their respective value chains, and addressing shortages of workforce and skills. STEP aims to ensure that the EU leads in digital, clean and bio tech, while reducing its dependence on other countries. This initiative supports the EU's goals to adapt to a rapidly changing world and secure sustainable growth for the decades ahead. CSR2024 notes that Ireland could leverage the Strategic Technologies for Europe Platform initiative to boost investments in small and medium-sized enterprises and research for clean energy technologies in line with the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strategy and the ‘Vision of Ireland’s Industry 4.0 Strategy 2020-2025’ and the establishment of Future Manufacturing Ireland (Recital 21). Actions under RSO 1.6 will align with Ireland's Action Plan on Competitiveness and Productivity and will complement and build on actions under RSO 1.1, RSO 1.3, Horizon and other EU funds supporting the development and manufacturing of critical technologies.</w:t>
            </w:r>
          </w:p>
        </w:tc>
      </w:tr>
      <w:tr w:rsidR="00B82D50" w14:paraId="2C9E0B12" w14:textId="77777777">
        <w:trPr>
          <w:trHeight w:val="160"/>
        </w:trPr>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950F3"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13321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RSO2.1. Promoting energy efficiency and reducing greenhouse gas emissions</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75CF4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CR2020 identifies scope for improvement in ….reducing greenhouse emissions, energy efficiency and poverty reduction. The independent Needs Analysis for ERDF &amp; ESF+ in Ireland (2020) identified the potential investment to enhance the energy efficiency of building stock. The scale of the investment required to meet climate action ambitions in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area is significant and CAP21 estimates that Ireland will require investments in buildings of €35 billion to assist in meeting our transition to Net Zero and climate neutrality by 2050. This investment will need to be met from many sources but given the limited resources available under the Programme and to create the greatest impact our decision is to focus these limited resources on one specific objective - promoting energy efficiency and reducing greenhouse gas emissions (RSO2.1). The overarching need to improve the energy efficiency of the Southern Region’s residential sector is evident from the low levels of audited households to register a Building Energy Rating (BER) between “A” and “B”. Between 2009 and 2020, only 19 per cent of audited households in Ireland registered a BER between “A” and “B”, with the corresponding ratios for households based in the Southern Region – particularly in the Mid-West and South-East – notably low and in most cases below the State average. The Government has worked with the SBCI and the European Investment Bank to develop a retrofit loan guarantee scheme and associated low-cost residential retrofit loans to make energy efficiency upgrades more affordable for middle and high </w:t>
            </w:r>
            <w:r>
              <w:rPr>
                <w:rFonts w:ascii="TimesNewRoman" w:eastAsia="TimesNewRoman" w:hAnsi="TimesNewRoman" w:cs="TimesNewRoman"/>
                <w:color w:val="000000"/>
              </w:rPr>
              <w:lastRenderedPageBreak/>
              <w:t xml:space="preserve">income households and noncorporate landlords. However, it is recognized that separate measures are required to support low-income households, particularly those at most risk of energy poverty who are not in a position to contribute to the cost of energy efficiency measures or with the repayment capacity to fund borrowing for energy efficiency measures. The ERSI “Energy Poverty and Deprivation in Ireland” report June 2022 evidenced that energy poverty (based on households spending more than 10% of disposal income on energy) in Ireland has increased from 13.2% in 2015/2016 to 29.4% as at April 2022 and estimate that if energy prices increase by a further 25% then the number of households in energy poverty will increase to 43%. </w:t>
            </w:r>
          </w:p>
        </w:tc>
      </w:tr>
      <w:tr w:rsidR="00B82D50" w14:paraId="5B52BFBD" w14:textId="77777777">
        <w:trPr>
          <w:trHeight w:val="160"/>
        </w:trPr>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1B8C9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A greener, low-carbon transitioning towards a net zero carbon economy and resilient Europe by promoting clean and fair energy transition, green and blue investment, the circular economy, climate change mitigation and adaptation risk prevention and management, and sustainable urban mobility</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ECD7D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RSO2.11. Promoting access to affordable and sustainable housing</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21374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inclusion of actions under RSO2.11 is based on the outcome of the Mid-term Review and responds to Regulation (EU) 2025/1914 as regards specific measures to address strategic challenges in the context of the mid-term review. The lack of adequate and affordable housing, and the need to address it at EU level, has emerged as a concern across the European Union. In the period between 2010 and 2024, house prices increased by 55.4% on average across Europe, while rents increased by an average of 26.7%. The largest increases were seen in capital cities and urban areas where employment opportunities are concentrated. According to Ireland's Central Statistics Office Residential Property Price Index September 2025 (CSO statistical release 19 Nov 2025), "property prices nationally have increased by 174.2% from their trough in early 2013. Dublin residential </w:t>
            </w:r>
            <w:r>
              <w:rPr>
                <w:rFonts w:ascii="TimesNewRoman" w:eastAsia="TimesNewRoman" w:hAnsi="TimesNewRoman" w:cs="TimesNewRoman"/>
                <w:color w:val="000000"/>
              </w:rPr>
              <w:lastRenderedPageBreak/>
              <w:t xml:space="preserve">property prices have risen by 168.0% from their February 2012 low... room rents are now on average 32% higher than the pre-covid level and 74% above their Celtic Tiger peak... market rents in the four cities are now on average 55% above their pre-covid levels and twice their Celtic Tiger peak". The Irish Government's new Housing Plan “Delivering Homes, Building Communities 2025-2030” identifies the delivery of homes as the Government’s "single biggest priority". CSR2024 acknowledges progress in energy efficiency initiatives but </w:t>
            </w:r>
            <w:proofErr w:type="spellStart"/>
            <w:r>
              <w:rPr>
                <w:rFonts w:ascii="TimesNewRoman" w:eastAsia="TimesNewRoman" w:hAnsi="TimesNewRoman" w:cs="TimesNewRoman"/>
                <w:color w:val="000000"/>
              </w:rPr>
              <w:t>emphasises</w:t>
            </w:r>
            <w:proofErr w:type="spellEnd"/>
            <w:r>
              <w:rPr>
                <w:rFonts w:ascii="TimesNewRoman" w:eastAsia="TimesNewRoman" w:hAnsi="TimesNewRoman" w:cs="TimesNewRoman"/>
                <w:color w:val="000000"/>
              </w:rPr>
              <w:t xml:space="preserve"> the need for additional measures to further reduce energy consumption and </w:t>
            </w:r>
            <w:proofErr w:type="spellStart"/>
            <w:r>
              <w:rPr>
                <w:rFonts w:ascii="TimesNewRoman" w:eastAsia="TimesNewRoman" w:hAnsi="TimesNewRoman" w:cs="TimesNewRoman"/>
                <w:color w:val="000000"/>
              </w:rPr>
              <w:t>decarbonise</w:t>
            </w:r>
            <w:proofErr w:type="spellEnd"/>
            <w:r>
              <w:rPr>
                <w:rFonts w:ascii="TimesNewRoman" w:eastAsia="TimesNewRoman" w:hAnsi="TimesNewRoman" w:cs="TimesNewRoman"/>
                <w:color w:val="000000"/>
              </w:rPr>
              <w:t xml:space="preserve"> the building stock, particularly through residential energy upgrades, retrofitting, and a faster transition to renewable heating (Recital 25). Recommendation 4 calls for intensified efforts to improve the energy performance of buildings to lower energy bills and system costs. CSR2025 recommends that Ireland implement additional measures that support energy efficiency in private and public buildings to reduce energy bills and energy system costs (Recommendation 4) and further increase the supply of social and affordable housing (Recommendation 6). Actions under RSO2.11 will complement and build on actions under RSO2.1 and RSO5.1 and will support EU, national, regional and local policies including energy efficiency first, compact urban growth, town </w:t>
            </w:r>
            <w:proofErr w:type="spellStart"/>
            <w:r>
              <w:rPr>
                <w:rFonts w:ascii="TimesNewRoman" w:eastAsia="TimesNewRoman" w:hAnsi="TimesNewRoman" w:cs="TimesNewRoman"/>
                <w:color w:val="000000"/>
              </w:rPr>
              <w:t>centre</w:t>
            </w:r>
            <w:proofErr w:type="spellEnd"/>
            <w:r>
              <w:rPr>
                <w:rFonts w:ascii="TimesNewRoman" w:eastAsia="TimesNewRoman" w:hAnsi="TimesNewRoman" w:cs="TimesNewRoman"/>
                <w:color w:val="000000"/>
              </w:rPr>
              <w:t xml:space="preserve"> first, circular economy, </w:t>
            </w:r>
            <w:proofErr w:type="spellStart"/>
            <w:r>
              <w:rPr>
                <w:rFonts w:ascii="TimesNewRoman" w:eastAsia="TimesNewRoman" w:hAnsi="TimesNewRoman" w:cs="TimesNewRoman"/>
                <w:color w:val="000000"/>
              </w:rPr>
              <w:t>decarbonising</w:t>
            </w:r>
            <w:proofErr w:type="spellEnd"/>
            <w:r>
              <w:rPr>
                <w:rFonts w:ascii="TimesNewRoman" w:eastAsia="TimesNewRoman" w:hAnsi="TimesNewRoman" w:cs="TimesNewRoman"/>
                <w:color w:val="000000"/>
              </w:rPr>
              <w:t xml:space="preserve"> zones and climate-neutral cities. </w:t>
            </w:r>
          </w:p>
        </w:tc>
      </w:tr>
      <w:tr w:rsidR="00B82D50" w14:paraId="04B05A23" w14:textId="77777777">
        <w:trPr>
          <w:trHeight w:val="160"/>
        </w:trPr>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9295C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5. A Europe closer to citizens by fostering the sustainable and integrated development of all types of territories and local initiatives</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89684F"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RSO5.1. Fostering the integrated and inclusive social, economic and environmental development, culture, natural heritage, sustainable tourism, and security in urban areas</w:t>
            </w:r>
          </w:p>
        </w:tc>
        <w:tc>
          <w:tcPr>
            <w:tcW w:w="10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73773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To ensure the harmonious development of urban areas as well as non-urban areas, the ERDF Regulation EU 2021 /1058 provides under policy objective 5 for support to be delivered in an integrated manner to the economic, social and environmental development of regions based on cross-sectoral territorial strategies using integrated territorial development tools. Furthermore, when developing urban areas, special attention is required to be paid to supporting functional urban areas due to their importance in triggering cooperation between local authorities and partners across administrative borders as well as strengthening urban-rural linkages. The need to address competitiveness and attractiveness of our urban </w:t>
            </w:r>
            <w:proofErr w:type="spellStart"/>
            <w:r>
              <w:rPr>
                <w:rFonts w:ascii="TimesNewRoman" w:eastAsia="TimesNewRoman" w:hAnsi="TimesNewRoman" w:cs="TimesNewRoman"/>
                <w:color w:val="000000"/>
              </w:rPr>
              <w:t>centres</w:t>
            </w:r>
            <w:proofErr w:type="spellEnd"/>
            <w:r>
              <w:rPr>
                <w:rFonts w:ascii="TimesNewRoman" w:eastAsia="TimesNewRoman" w:hAnsi="TimesNewRoman" w:cs="TimesNewRoman"/>
                <w:color w:val="000000"/>
              </w:rPr>
              <w:t xml:space="preserve"> was captured in the independent Needs Analysis for ERDF and ESF+ Project Ireland 2040 is the overarching policy and planning framework for the social, economic and cultural development of Ireland. It includes a detailed capital investment plan for the period 2021 to 2030, the National Development Plan (NDP), and the 20-year National Planning Framework (NPF). In line with the NPF and NDP, the Regional Spatial and Economic Strategies (RSES) and Metropolitan Area Strategic Plans (MASPs) / Strategic Growth Centre Plans set a 12-year statutory strategic planning and economic development framework for future economic, spatial, and social development of the Regions in pursuit of balanced regional development. Each RSES </w:t>
            </w:r>
            <w:proofErr w:type="spellStart"/>
            <w:r>
              <w:rPr>
                <w:rFonts w:ascii="TimesNewRoman" w:eastAsia="TimesNewRoman" w:hAnsi="TimesNewRoman" w:cs="TimesNewRoman"/>
                <w:color w:val="000000"/>
              </w:rPr>
              <w:t>recognises</w:t>
            </w:r>
            <w:proofErr w:type="spellEnd"/>
            <w:r>
              <w:rPr>
                <w:rFonts w:ascii="TimesNewRoman" w:eastAsia="TimesNewRoman" w:hAnsi="TimesNewRoman" w:cs="TimesNewRoman"/>
                <w:color w:val="000000"/>
              </w:rPr>
              <w:t xml:space="preserve"> the strategic role played by our urban settlements, building on Cities and Metropolitan Areas, Regional Growth </w:t>
            </w:r>
            <w:proofErr w:type="spellStart"/>
            <w:r>
              <w:rPr>
                <w:rFonts w:ascii="TimesNewRoman" w:eastAsia="TimesNewRoman" w:hAnsi="TimesNewRoman" w:cs="TimesNewRoman"/>
                <w:color w:val="000000"/>
              </w:rPr>
              <w:t>Centres</w:t>
            </w:r>
            <w:proofErr w:type="spellEnd"/>
            <w:r>
              <w:rPr>
                <w:rFonts w:ascii="TimesNewRoman" w:eastAsia="TimesNewRoman" w:hAnsi="TimesNewRoman" w:cs="TimesNewRoman"/>
                <w:color w:val="000000"/>
              </w:rPr>
              <w:t xml:space="preserve">, </w:t>
            </w:r>
            <w:r>
              <w:rPr>
                <w:rFonts w:ascii="TimesNewRoman" w:eastAsia="TimesNewRoman" w:hAnsi="TimesNewRoman" w:cs="TimesNewRoman"/>
                <w:color w:val="000000"/>
              </w:rPr>
              <w:lastRenderedPageBreak/>
              <w:t xml:space="preserve">Key Towns and our urban settlement networks as </w:t>
            </w:r>
            <w:proofErr w:type="spellStart"/>
            <w:r>
              <w:rPr>
                <w:rFonts w:ascii="TimesNewRoman" w:eastAsia="TimesNewRoman" w:hAnsi="TimesNewRoman" w:cs="TimesNewRoman"/>
                <w:color w:val="000000"/>
              </w:rPr>
              <w:t>centres</w:t>
            </w:r>
            <w:proofErr w:type="spellEnd"/>
            <w:r>
              <w:rPr>
                <w:rFonts w:ascii="TimesNewRoman" w:eastAsia="TimesNewRoman" w:hAnsi="TimesNewRoman" w:cs="TimesNewRoman"/>
                <w:color w:val="000000"/>
              </w:rPr>
              <w:t xml:space="preserve"> for population and employment growth to drive economic growth in the Regions. Regional Policy Objectives in each RSES support active land management and actions to address the principles of ‘Compact Growth’ and urban regeneration. RSO5.1 will provide for a place-based, flexible, innovative and integrated response to addressing Sustainable Urban Development, consistent with local and regional plans and with the national policy framework of Town Centre First.</w:t>
            </w:r>
          </w:p>
        </w:tc>
      </w:tr>
    </w:tbl>
    <w:p w14:paraId="7C7EA131" w14:textId="77777777" w:rsidR="00A77B3E" w:rsidRDefault="00000000">
      <w:pPr>
        <w:spacing w:before="100"/>
        <w:rPr>
          <w:color w:val="000000"/>
        </w:rPr>
        <w:sectPr w:rsidR="00A77B3E">
          <w:headerReference w:type="even" r:id="rId13"/>
          <w:headerReference w:type="default" r:id="rId14"/>
          <w:footerReference w:type="even" r:id="rId15"/>
          <w:footerReference w:type="default" r:id="rId16"/>
          <w:headerReference w:type="first" r:id="rId17"/>
          <w:footerReference w:type="first" r:id="rId18"/>
          <w:pgSz w:w="16838" w:h="11906" w:orient="landscape"/>
          <w:pgMar w:top="720" w:right="720" w:bottom="864" w:left="936" w:header="288" w:footer="72" w:gutter="0"/>
          <w:cols w:space="708"/>
          <w:noEndnote/>
          <w:docGrid w:linePitch="360"/>
        </w:sectPr>
      </w:pPr>
      <w:r>
        <w:rPr>
          <w:rFonts w:ascii="TimesNewRoman" w:eastAsia="TimesNewRoman" w:hAnsi="TimesNewRoman" w:cs="TimesNewRoman"/>
          <w:color w:val="000000"/>
        </w:rPr>
        <w:lastRenderedPageBreak/>
        <w:t>* Dedicated priorities according to ESF+ Regulation</w:t>
      </w:r>
    </w:p>
    <w:p w14:paraId="20FAC2A6" w14:textId="77777777" w:rsidR="00A77B3E" w:rsidRDefault="00000000">
      <w:pPr>
        <w:pStyle w:val="Heading1"/>
        <w:spacing w:before="100" w:after="0"/>
        <w:rPr>
          <w:rFonts w:ascii="Times New Roman" w:hAnsi="Times New Roman" w:cs="Times New Roman"/>
          <w:b w:val="0"/>
          <w:color w:val="000000"/>
          <w:sz w:val="24"/>
        </w:rPr>
      </w:pPr>
      <w:bookmarkStart w:id="2" w:name="_Toc256000159"/>
      <w:r>
        <w:rPr>
          <w:rFonts w:ascii="Times New Roman" w:hAnsi="Times New Roman" w:cs="Times New Roman"/>
          <w:b w:val="0"/>
          <w:color w:val="000000"/>
          <w:sz w:val="24"/>
        </w:rPr>
        <w:lastRenderedPageBreak/>
        <w:t>2. Priorities</w:t>
      </w:r>
      <w:bookmarkEnd w:id="2"/>
    </w:p>
    <w:p w14:paraId="4F0A18DF" w14:textId="77777777" w:rsidR="00A77B3E" w:rsidRDefault="00A77B3E">
      <w:pPr>
        <w:spacing w:before="100"/>
        <w:rPr>
          <w:color w:val="000000"/>
          <w:sz w:val="0"/>
        </w:rPr>
      </w:pPr>
    </w:p>
    <w:p w14:paraId="5168F030" w14:textId="77777777" w:rsidR="00A77B3E" w:rsidRDefault="00000000">
      <w:pPr>
        <w:spacing w:before="100"/>
        <w:rPr>
          <w:color w:val="000000"/>
          <w:sz w:val="0"/>
        </w:rPr>
      </w:pPr>
      <w:r>
        <w:rPr>
          <w:color w:val="000000"/>
        </w:rPr>
        <w:t>Reference: Article 22(2) and point (c) of Article 22(3) CPR</w:t>
      </w:r>
    </w:p>
    <w:p w14:paraId="41D33EB9" w14:textId="77777777" w:rsidR="00A77B3E" w:rsidRDefault="00000000">
      <w:pPr>
        <w:pStyle w:val="Heading2"/>
        <w:spacing w:before="100" w:after="0"/>
        <w:rPr>
          <w:rFonts w:ascii="TimesNewRoman" w:eastAsia="TimesNewRoman" w:hAnsi="TimesNewRoman" w:cs="TimesNewRoman"/>
          <w:b w:val="0"/>
          <w:i w:val="0"/>
          <w:color w:val="000000"/>
          <w:sz w:val="24"/>
        </w:rPr>
      </w:pPr>
      <w:bookmarkStart w:id="3" w:name="_Toc256000160"/>
      <w:r>
        <w:rPr>
          <w:rFonts w:ascii="TimesNewRoman" w:eastAsia="TimesNewRoman" w:hAnsi="TimesNewRoman" w:cs="TimesNewRoman"/>
          <w:b w:val="0"/>
          <w:i w:val="0"/>
          <w:color w:val="000000"/>
          <w:sz w:val="24"/>
        </w:rPr>
        <w:t>2.1. Priorities other than technical assistance</w:t>
      </w:r>
      <w:bookmarkEnd w:id="3"/>
    </w:p>
    <w:p w14:paraId="601A1E84" w14:textId="77777777" w:rsidR="00A77B3E" w:rsidRDefault="00A77B3E">
      <w:pPr>
        <w:spacing w:before="100"/>
        <w:rPr>
          <w:rFonts w:ascii="TimesNewRoman" w:eastAsia="TimesNewRoman" w:hAnsi="TimesNewRoman" w:cs="TimesNewRoman"/>
          <w:color w:val="000000"/>
          <w:sz w:val="0"/>
        </w:rPr>
      </w:pPr>
    </w:p>
    <w:p w14:paraId="65118997" w14:textId="77777777" w:rsidR="00A77B3E" w:rsidRDefault="00000000">
      <w:pPr>
        <w:pStyle w:val="Heading3"/>
        <w:spacing w:before="100" w:after="0"/>
        <w:rPr>
          <w:rFonts w:ascii="Times New Roman" w:hAnsi="Times New Roman" w:cs="Times New Roman"/>
          <w:b w:val="0"/>
          <w:color w:val="000000"/>
          <w:sz w:val="24"/>
        </w:rPr>
      </w:pPr>
      <w:bookmarkStart w:id="4" w:name="_Toc256000161"/>
      <w:r>
        <w:rPr>
          <w:rFonts w:ascii="Times New Roman" w:hAnsi="Times New Roman" w:cs="Times New Roman"/>
          <w:b w:val="0"/>
          <w:color w:val="000000"/>
          <w:sz w:val="24"/>
        </w:rPr>
        <w:t>2.1.1. Priority: SEM1. Smarter and More Competitive Regions</w:t>
      </w:r>
      <w:bookmarkEnd w:id="4"/>
    </w:p>
    <w:p w14:paraId="6CD84550" w14:textId="77777777" w:rsidR="00A77B3E" w:rsidRDefault="00A77B3E">
      <w:pPr>
        <w:spacing w:before="100"/>
        <w:rPr>
          <w:color w:val="000000"/>
          <w:sz w:val="0"/>
        </w:rPr>
      </w:pPr>
    </w:p>
    <w:p w14:paraId="3FE7F7A3" w14:textId="77777777" w:rsidR="00A77B3E" w:rsidRDefault="00000000">
      <w:pPr>
        <w:pStyle w:val="Heading4"/>
        <w:spacing w:before="100" w:after="0"/>
        <w:rPr>
          <w:b w:val="0"/>
          <w:color w:val="000000"/>
          <w:sz w:val="24"/>
        </w:rPr>
      </w:pPr>
      <w:bookmarkStart w:id="5" w:name="_Toc256000162"/>
      <w:r>
        <w:rPr>
          <w:b w:val="0"/>
          <w:color w:val="000000"/>
          <w:sz w:val="24"/>
        </w:rPr>
        <w:t>2.1.1.1. Specific objective: RSO1.1. Developing and enhancing research and innovation capacities and the uptake of advanced technologies (ERDF)</w:t>
      </w:r>
      <w:bookmarkEnd w:id="5"/>
    </w:p>
    <w:p w14:paraId="4113FF82" w14:textId="77777777" w:rsidR="00A77B3E" w:rsidRDefault="00A77B3E">
      <w:pPr>
        <w:spacing w:before="100"/>
        <w:rPr>
          <w:color w:val="000000"/>
          <w:sz w:val="0"/>
        </w:rPr>
      </w:pPr>
    </w:p>
    <w:p w14:paraId="373DE928" w14:textId="77777777" w:rsidR="00A77B3E" w:rsidRDefault="00000000">
      <w:pPr>
        <w:pStyle w:val="Heading4"/>
        <w:spacing w:before="100" w:after="0"/>
        <w:rPr>
          <w:b w:val="0"/>
          <w:color w:val="000000"/>
          <w:sz w:val="24"/>
        </w:rPr>
      </w:pPr>
      <w:bookmarkStart w:id="6" w:name="_Toc256000163"/>
      <w:r>
        <w:rPr>
          <w:b w:val="0"/>
          <w:color w:val="000000"/>
          <w:sz w:val="24"/>
        </w:rPr>
        <w:t>2.1.1.1.1. Interventions of the Funds</w:t>
      </w:r>
      <w:bookmarkEnd w:id="6"/>
    </w:p>
    <w:p w14:paraId="5D266F95" w14:textId="77777777" w:rsidR="00A77B3E" w:rsidRDefault="00A77B3E">
      <w:pPr>
        <w:spacing w:before="100"/>
        <w:rPr>
          <w:color w:val="000000"/>
          <w:sz w:val="0"/>
        </w:rPr>
      </w:pPr>
    </w:p>
    <w:p w14:paraId="26938EFB" w14:textId="77777777" w:rsidR="00A77B3E" w:rsidRDefault="00000000">
      <w:pPr>
        <w:spacing w:before="100"/>
        <w:rPr>
          <w:color w:val="000000"/>
          <w:sz w:val="0"/>
        </w:rPr>
      </w:pPr>
      <w:r>
        <w:rPr>
          <w:color w:val="000000"/>
        </w:rPr>
        <w:t>Reference: points (d)(</w:t>
      </w:r>
      <w:proofErr w:type="spellStart"/>
      <w:r>
        <w:rPr>
          <w:color w:val="000000"/>
        </w:rPr>
        <w:t>i</w:t>
      </w:r>
      <w:proofErr w:type="spellEnd"/>
      <w:r>
        <w:rPr>
          <w:color w:val="000000"/>
        </w:rPr>
        <w:t>), (iii), (iv), (v), (vi) and (vii) of Article 22(3) CPR</w:t>
      </w:r>
    </w:p>
    <w:p w14:paraId="05E10396" w14:textId="77777777" w:rsidR="00A77B3E" w:rsidRDefault="00000000">
      <w:pPr>
        <w:pStyle w:val="Heading5"/>
        <w:spacing w:before="100" w:after="0"/>
        <w:rPr>
          <w:b w:val="0"/>
          <w:i w:val="0"/>
          <w:color w:val="000000"/>
          <w:sz w:val="24"/>
        </w:rPr>
      </w:pPr>
      <w:bookmarkStart w:id="7" w:name="_Toc256000164"/>
      <w:r>
        <w:rPr>
          <w:b w:val="0"/>
          <w:i w:val="0"/>
          <w:color w:val="000000"/>
          <w:sz w:val="24"/>
        </w:rPr>
        <w:t>The related types of actions – point (d)(</w:t>
      </w:r>
      <w:proofErr w:type="spellStart"/>
      <w:r>
        <w:rPr>
          <w:b w:val="0"/>
          <w:i w:val="0"/>
          <w:color w:val="000000"/>
          <w:sz w:val="24"/>
        </w:rPr>
        <w:t>i</w:t>
      </w:r>
      <w:proofErr w:type="spellEnd"/>
      <w:r>
        <w:rPr>
          <w:b w:val="0"/>
          <w:i w:val="0"/>
          <w:color w:val="000000"/>
          <w:sz w:val="24"/>
        </w:rPr>
        <w:t>) of Article 22(3) CPR and Article 6 ESF+ Regulation:</w:t>
      </w:r>
      <w:bookmarkEnd w:id="7"/>
    </w:p>
    <w:p w14:paraId="2453412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DE2FF4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28F7165D" w14:textId="77777777" w:rsidR="00A77B3E" w:rsidRDefault="00A77B3E">
            <w:pPr>
              <w:spacing w:before="100"/>
              <w:rPr>
                <w:color w:val="000000"/>
                <w:sz w:val="0"/>
              </w:rPr>
            </w:pPr>
          </w:p>
          <w:p w14:paraId="2A21B32C" w14:textId="77777777" w:rsidR="00A77B3E" w:rsidRDefault="00000000">
            <w:pPr>
              <w:spacing w:before="100"/>
              <w:rPr>
                <w:color w:val="000000"/>
              </w:rPr>
            </w:pPr>
            <w:r>
              <w:rPr>
                <w:color w:val="000000"/>
              </w:rPr>
              <w:t xml:space="preserve">The following types of action will be taken under this priority to develop and enhance research and innovation capacities and the uptake of advanced technologies in the </w:t>
            </w:r>
            <w:proofErr w:type="spellStart"/>
            <w:r>
              <w:rPr>
                <w:color w:val="000000"/>
              </w:rPr>
              <w:t>programme</w:t>
            </w:r>
            <w:proofErr w:type="spellEnd"/>
            <w:r>
              <w:rPr>
                <w:color w:val="000000"/>
              </w:rPr>
              <w:t xml:space="preserve"> area. Selection of operations will be tailored to regional needs and will support investments that are in line with the S3 strategy and the seven Regional Enterprise Plans within the </w:t>
            </w:r>
            <w:proofErr w:type="spellStart"/>
            <w:r>
              <w:rPr>
                <w:color w:val="000000"/>
              </w:rPr>
              <w:t>programme</w:t>
            </w:r>
            <w:proofErr w:type="spellEnd"/>
            <w:r>
              <w:rPr>
                <w:color w:val="000000"/>
              </w:rPr>
              <w:t xml:space="preserve"> area. The development of Regional Enterprise Plans has been done in parallel with the creation of the S3. The stakeholder consultation undertaken as part of the development of these Regional Enterprise Plans has acted as an entrepreneurial discovery process which has contributed valuable insights to the S3 for Ireland.</w:t>
            </w:r>
          </w:p>
          <w:p w14:paraId="69E35A1A" w14:textId="77777777" w:rsidR="00A77B3E" w:rsidRDefault="00A77B3E">
            <w:pPr>
              <w:spacing w:before="100"/>
              <w:rPr>
                <w:color w:val="000000"/>
              </w:rPr>
            </w:pPr>
          </w:p>
          <w:p w14:paraId="52047D59" w14:textId="77777777" w:rsidR="00A77B3E" w:rsidRDefault="00000000">
            <w:pPr>
              <w:spacing w:before="100"/>
              <w:rPr>
                <w:color w:val="000000"/>
              </w:rPr>
            </w:pPr>
            <w:r>
              <w:rPr>
                <w:rStyle w:val="Strong"/>
                <w:b w:val="0"/>
                <w:color w:val="000000"/>
              </w:rPr>
              <w:t xml:space="preserve">Capacity building within the new and emerging technological universities (TUs) </w:t>
            </w:r>
          </w:p>
          <w:p w14:paraId="11499A60" w14:textId="77777777" w:rsidR="00A77B3E" w:rsidRDefault="00000000">
            <w:pPr>
              <w:spacing w:before="100"/>
              <w:rPr>
                <w:color w:val="000000"/>
              </w:rPr>
            </w:pPr>
            <w:r>
              <w:rPr>
                <w:color w:val="000000"/>
              </w:rPr>
              <w:t xml:space="preserve">Action RSO1.1.1: Establish, strengthen and </w:t>
            </w:r>
            <w:proofErr w:type="spellStart"/>
            <w:r>
              <w:rPr>
                <w:color w:val="000000"/>
              </w:rPr>
              <w:t>systemise</w:t>
            </w:r>
            <w:proofErr w:type="spellEnd"/>
            <w:r>
              <w:rPr>
                <w:color w:val="000000"/>
              </w:rPr>
              <w:t xml:space="preserve"> the technological universities’ research and innovation offices which support their academic staff and researchers and wider enterprise and community stakeholders within their regions. This will include developing researcher human capital in the technological universities, including staff development, recruitment, postgraduate training and supervision, networking, and more structured collaborative knowledge-transfer and mobility schemes. This action responds to S3 ambitions by strengthening the new TUs to be regional innovation leaders. It aims to build new and additional capacity to facilitate and enable knowledge transfer and S3 objectives. Supports will include but are not limited to, for example, incubator and research space, advisory and support services, assistance with product and/or market development, and work placements. Enhanced RD&amp;I capabilities and work placements into enterprises will bring knowledge and expertise out to the regions and bring problems and challenges back in, an important enabling step in cultivating SME engagement and building a pipeline for further collaborative projects. Supported costs will include staffing costs, stipends, training and events, consultancy, small capital and equipment costs and indirect costs.</w:t>
            </w:r>
          </w:p>
          <w:p w14:paraId="4FB3FC96" w14:textId="77777777" w:rsidR="00A77B3E" w:rsidRDefault="00A77B3E">
            <w:pPr>
              <w:spacing w:before="100"/>
              <w:rPr>
                <w:color w:val="000000"/>
              </w:rPr>
            </w:pPr>
          </w:p>
          <w:p w14:paraId="46EDEAAC" w14:textId="77777777" w:rsidR="00A77B3E" w:rsidRDefault="00000000">
            <w:pPr>
              <w:spacing w:before="100"/>
              <w:rPr>
                <w:color w:val="000000"/>
              </w:rPr>
            </w:pPr>
            <w:r>
              <w:rPr>
                <w:color w:val="000000"/>
              </w:rPr>
              <w:t>Action RSO1.1.2: Provide industry gateways with dedicated staff who work with industry to articulate company problems in a manner that can be addressed by the established expert base in each TU. Gateway staff will manage the interaction between enterprises and the technological university, help enterprises source funding where necessary, and ensure projects are delivered successfully and in an industry-friendly manner.</w:t>
            </w:r>
          </w:p>
          <w:p w14:paraId="30509CB4" w14:textId="77777777" w:rsidR="00A77B3E" w:rsidRDefault="00A77B3E">
            <w:pPr>
              <w:spacing w:before="100"/>
              <w:rPr>
                <w:color w:val="000000"/>
              </w:rPr>
            </w:pPr>
          </w:p>
          <w:p w14:paraId="1F988587" w14:textId="77777777" w:rsidR="00A77B3E" w:rsidRDefault="00A77B3E">
            <w:pPr>
              <w:spacing w:before="100"/>
              <w:rPr>
                <w:color w:val="000000"/>
              </w:rPr>
            </w:pPr>
          </w:p>
          <w:p w14:paraId="3947413E" w14:textId="77777777" w:rsidR="00A77B3E" w:rsidRDefault="00000000">
            <w:pPr>
              <w:spacing w:before="100"/>
              <w:rPr>
                <w:color w:val="000000"/>
              </w:rPr>
            </w:pPr>
            <w:r>
              <w:rPr>
                <w:rStyle w:val="Strong"/>
                <w:b w:val="0"/>
                <w:color w:val="000000"/>
              </w:rPr>
              <w:t>Capacity building within the regions’ public research institutions</w:t>
            </w:r>
          </w:p>
          <w:p w14:paraId="7D9EC003" w14:textId="77777777" w:rsidR="00A77B3E" w:rsidRDefault="00000000">
            <w:pPr>
              <w:spacing w:before="100"/>
              <w:rPr>
                <w:color w:val="000000"/>
              </w:rPr>
            </w:pPr>
            <w:r>
              <w:rPr>
                <w:color w:val="000000"/>
              </w:rPr>
              <w:t>Action RSO1.1.3: Retain Technology Transfer specialists to help companies and investors to access new knowledge and expertise, to drive innovation through collaboration, and to identify and license new technologies and IP. These specialists will continue to develop the Technology Transfer System in public research institutions and will provide new resources to place a focus on developing spin out company opportunities.</w:t>
            </w:r>
          </w:p>
          <w:p w14:paraId="4E3920C9" w14:textId="77777777" w:rsidR="00A77B3E" w:rsidRDefault="00A77B3E">
            <w:pPr>
              <w:spacing w:before="100"/>
              <w:rPr>
                <w:color w:val="000000"/>
              </w:rPr>
            </w:pPr>
          </w:p>
          <w:p w14:paraId="00AB95DE" w14:textId="77777777" w:rsidR="00A77B3E" w:rsidRDefault="00A77B3E">
            <w:pPr>
              <w:spacing w:before="100"/>
              <w:rPr>
                <w:color w:val="000000"/>
              </w:rPr>
            </w:pPr>
          </w:p>
          <w:p w14:paraId="51A106C4" w14:textId="77777777" w:rsidR="00A77B3E" w:rsidRDefault="00000000">
            <w:pPr>
              <w:spacing w:before="100"/>
              <w:rPr>
                <w:color w:val="000000"/>
              </w:rPr>
            </w:pPr>
            <w:r>
              <w:rPr>
                <w:rStyle w:val="Strong"/>
                <w:b w:val="0"/>
                <w:color w:val="000000"/>
              </w:rPr>
              <w:t>Accelerating the translation of cutting-edge research into commercial applications at a regional level</w:t>
            </w:r>
          </w:p>
          <w:p w14:paraId="298D71FC" w14:textId="77777777" w:rsidR="00A77B3E" w:rsidRDefault="00000000">
            <w:pPr>
              <w:spacing w:before="100"/>
              <w:rPr>
                <w:color w:val="000000"/>
              </w:rPr>
            </w:pPr>
            <w:r>
              <w:rPr>
                <w:color w:val="000000"/>
              </w:rPr>
              <w:t xml:space="preserve">Action RSO1.1.4: Establish a new "Smart Hub" model for regional innovation and entrepreneurial training. The model will integrate critical elements of a research and innovation (R&amp;I) ecosystem with entrepreneurial approaches, thus accelerating time to market from research concept to spin-outs, new product introduction, </w:t>
            </w:r>
            <w:proofErr w:type="spellStart"/>
            <w:r>
              <w:rPr>
                <w:color w:val="000000"/>
              </w:rPr>
              <w:t>licences</w:t>
            </w:r>
            <w:proofErr w:type="spellEnd"/>
            <w:r>
              <w:rPr>
                <w:color w:val="000000"/>
              </w:rPr>
              <w:t xml:space="preserve"> and innovations. The new regional Smart Hubs for Entrepreneurial Research and Innovation will be established in key thematic areas aligned with the Ireland's Smart </w:t>
            </w:r>
            <w:proofErr w:type="spellStart"/>
            <w:r>
              <w:rPr>
                <w:color w:val="000000"/>
              </w:rPr>
              <w:t>Specialisation</w:t>
            </w:r>
            <w:proofErr w:type="spellEnd"/>
            <w:r>
              <w:rPr>
                <w:color w:val="000000"/>
              </w:rPr>
              <w:t xml:space="preserve"> Strategy and regional strategic priorities.</w:t>
            </w:r>
          </w:p>
          <w:p w14:paraId="325A9B40" w14:textId="77777777" w:rsidR="00A77B3E" w:rsidRDefault="00A77B3E">
            <w:pPr>
              <w:spacing w:before="100"/>
              <w:rPr>
                <w:color w:val="000000"/>
              </w:rPr>
            </w:pPr>
          </w:p>
          <w:p w14:paraId="5902C3C2" w14:textId="77777777" w:rsidR="00A77B3E" w:rsidRDefault="00A77B3E">
            <w:pPr>
              <w:spacing w:before="100"/>
              <w:rPr>
                <w:color w:val="000000"/>
              </w:rPr>
            </w:pPr>
          </w:p>
          <w:p w14:paraId="5A1CDDB0" w14:textId="77777777" w:rsidR="00A77B3E" w:rsidRDefault="00000000">
            <w:pPr>
              <w:spacing w:before="100"/>
              <w:rPr>
                <w:color w:val="000000"/>
              </w:rPr>
            </w:pPr>
            <w:r>
              <w:rPr>
                <w:rStyle w:val="Strong"/>
                <w:b w:val="0"/>
                <w:color w:val="000000"/>
              </w:rPr>
              <w:t>Supporting innovation diffusion, enterprise innovation and entrepreneurship in the regions</w:t>
            </w:r>
          </w:p>
          <w:p w14:paraId="20719E94" w14:textId="77777777" w:rsidR="00A77B3E" w:rsidRDefault="00000000">
            <w:pPr>
              <w:spacing w:before="100"/>
              <w:rPr>
                <w:color w:val="000000"/>
              </w:rPr>
            </w:pPr>
            <w:r>
              <w:rPr>
                <w:color w:val="000000"/>
              </w:rPr>
              <w:t xml:space="preserve">Action RSO1.1.5: Develop new immersive-based, needs-led innovation training programmes, closely aligned to S3 in the regions and capable of attracting high </w:t>
            </w:r>
            <w:proofErr w:type="spellStart"/>
            <w:r>
              <w:rPr>
                <w:color w:val="000000"/>
              </w:rPr>
              <w:t>calibre</w:t>
            </w:r>
            <w:proofErr w:type="spellEnd"/>
            <w:r>
              <w:rPr>
                <w:color w:val="000000"/>
              </w:rPr>
              <w:t xml:space="preserve"> individuals and inter-disciplinary teams who, through their immersion and observation of real needs in their immersive environment and the use of a design methodology, will be supported to generate product and process ideas, new IP and in some cases, the creation of high-potential-start-ups (HPSUs) from research. These programmes will build on existing international and national best practice connecting on multiple levels with the industry sector clusters in the regions. The approach is modelled on the success of an exemplar immersive needs-led innovation training </w:t>
            </w:r>
            <w:proofErr w:type="spellStart"/>
            <w:r>
              <w:rPr>
                <w:color w:val="000000"/>
              </w:rPr>
              <w:t>programme</w:t>
            </w:r>
            <w:proofErr w:type="spellEnd"/>
            <w:r>
              <w:rPr>
                <w:color w:val="000000"/>
              </w:rPr>
              <w:t xml:space="preserve"> in the medical devices sector in Galway.</w:t>
            </w:r>
          </w:p>
          <w:p w14:paraId="41DD4DFC" w14:textId="77777777" w:rsidR="00A77B3E" w:rsidRDefault="00A77B3E">
            <w:pPr>
              <w:spacing w:before="100"/>
              <w:rPr>
                <w:color w:val="000000"/>
              </w:rPr>
            </w:pPr>
          </w:p>
          <w:p w14:paraId="62059B8E" w14:textId="77777777" w:rsidR="00A77B3E" w:rsidRDefault="00A77B3E">
            <w:pPr>
              <w:spacing w:before="100"/>
              <w:rPr>
                <w:color w:val="000000"/>
              </w:rPr>
            </w:pPr>
          </w:p>
          <w:p w14:paraId="0C2D7CB7" w14:textId="77777777" w:rsidR="00A77B3E" w:rsidRDefault="00000000">
            <w:pPr>
              <w:spacing w:before="100"/>
              <w:rPr>
                <w:color w:val="000000"/>
              </w:rPr>
            </w:pPr>
            <w:r>
              <w:rPr>
                <w:rStyle w:val="Strong"/>
                <w:b w:val="0"/>
                <w:color w:val="000000"/>
              </w:rPr>
              <w:t>Piloting new approaches to interregional collaboration through Regional Innovation Valleys</w:t>
            </w:r>
          </w:p>
          <w:p w14:paraId="4816420F" w14:textId="77777777" w:rsidR="00A77B3E" w:rsidRDefault="00000000">
            <w:pPr>
              <w:spacing w:before="100"/>
              <w:rPr>
                <w:color w:val="000000"/>
              </w:rPr>
            </w:pPr>
            <w:r>
              <w:rPr>
                <w:color w:val="000000"/>
              </w:rPr>
              <w:t xml:space="preserve">Action RSO1.1.6 Regional Innovation Valleys: Pilot new approaches towards strengthening the research and innovation ecosystem, enhancing coordination and directionality of research and innovation policy and investment towards key EU priorities, and engaging in research and innovation collaboration between less innovative regions and more innovative ones with complementary smart </w:t>
            </w:r>
            <w:proofErr w:type="spellStart"/>
            <w:r>
              <w:rPr>
                <w:color w:val="000000"/>
              </w:rPr>
              <w:t>specialisation</w:t>
            </w:r>
            <w:proofErr w:type="spellEnd"/>
            <w:r>
              <w:rPr>
                <w:color w:val="000000"/>
              </w:rPr>
              <w:t xml:space="preserve"> strategies (S3), through active participation in Regional Innovation Valleys. The initial focus will be on co-funding regional innovation valley funding available to Irish partners through other funds, including Horizon Europe.</w:t>
            </w:r>
          </w:p>
          <w:p w14:paraId="18F12187" w14:textId="77777777" w:rsidR="00A77B3E" w:rsidRDefault="00A77B3E">
            <w:pPr>
              <w:spacing w:before="100"/>
              <w:rPr>
                <w:color w:val="000000"/>
              </w:rPr>
            </w:pPr>
          </w:p>
          <w:p w14:paraId="759FF6FB" w14:textId="77777777" w:rsidR="00A77B3E" w:rsidRDefault="00000000">
            <w:pPr>
              <w:spacing w:before="100"/>
              <w:rPr>
                <w:color w:val="000000"/>
              </w:rPr>
            </w:pPr>
            <w:r>
              <w:rPr>
                <w:color w:val="000000"/>
              </w:rPr>
              <w:t xml:space="preserve">For example, this action could support </w:t>
            </w:r>
            <w:r>
              <w:rPr>
                <w:rStyle w:val="Emphasis"/>
                <w:b/>
                <w:bCs/>
                <w:i w:val="0"/>
                <w:color w:val="000000"/>
              </w:rPr>
              <w:t>implementing co-funded action plans for connected regional innovation valleys</w:t>
            </w:r>
            <w:r>
              <w:rPr>
                <w:color w:val="000000"/>
              </w:rPr>
              <w:t xml:space="preserve"> (HORIZON-EIE-2025-02-CONNECT-02), e.g., through co-funding FSTP projects. Projects supported under this HE call are required to ensure:</w:t>
            </w:r>
          </w:p>
          <w:p w14:paraId="14D2EB34" w14:textId="77777777" w:rsidR="00A77B3E" w:rsidRDefault="00000000">
            <w:pPr>
              <w:numPr>
                <w:ilvl w:val="0"/>
                <w:numId w:val="2"/>
              </w:numPr>
              <w:spacing w:before="100"/>
              <w:rPr>
                <w:color w:val="000000"/>
              </w:rPr>
            </w:pPr>
            <w:r>
              <w:rPr>
                <w:color w:val="000000"/>
              </w:rPr>
              <w:t>Participation of private actors, either for the joint implementation of proposed activities, and/or their possible co-funding; for example, via links and cooperation with innovative SMEs, start-ups, industry, private entities supporting innovation and innovators, including clusters, associations, as well as investors and foundations;</w:t>
            </w:r>
          </w:p>
          <w:p w14:paraId="7A95F2A5" w14:textId="77777777" w:rsidR="00A77B3E" w:rsidRDefault="00000000">
            <w:pPr>
              <w:numPr>
                <w:ilvl w:val="0"/>
                <w:numId w:val="2"/>
              </w:numPr>
              <w:spacing w:before="100"/>
              <w:rPr>
                <w:color w:val="000000"/>
              </w:rPr>
            </w:pPr>
            <w:r>
              <w:rPr>
                <w:color w:val="000000"/>
              </w:rPr>
              <w:t xml:space="preserve">Complementarity and synergies with other funds (EU, public, and/or private) and innovation-related strategies/policies/programmes/plans at national and/or regional level, including their smart </w:t>
            </w:r>
            <w:proofErr w:type="spellStart"/>
            <w:r>
              <w:rPr>
                <w:color w:val="000000"/>
              </w:rPr>
              <w:t>specialisation</w:t>
            </w:r>
            <w:proofErr w:type="spellEnd"/>
            <w:r>
              <w:rPr>
                <w:color w:val="000000"/>
              </w:rPr>
              <w:t xml:space="preserve"> strategies, and where relevant, the participation in other relevant programmes. Applicants should outline the scope for synergies and/or additional funding, in particular, where this makes the projects more ambitious or increases their impact and expected results.</w:t>
            </w:r>
          </w:p>
          <w:p w14:paraId="658A8C17" w14:textId="77777777" w:rsidR="00A77B3E" w:rsidRDefault="00A77B3E">
            <w:pPr>
              <w:spacing w:before="100"/>
              <w:rPr>
                <w:color w:val="000000"/>
              </w:rPr>
            </w:pPr>
          </w:p>
          <w:p w14:paraId="0F2D3AC8" w14:textId="77777777" w:rsidR="00A77B3E" w:rsidRDefault="00000000">
            <w:pPr>
              <w:spacing w:before="100"/>
              <w:rPr>
                <w:color w:val="000000"/>
              </w:rPr>
            </w:pPr>
            <w:r>
              <w:rPr>
                <w:color w:val="000000"/>
              </w:rPr>
              <w:t>===================</w:t>
            </w:r>
          </w:p>
          <w:p w14:paraId="5534B7C3" w14:textId="77777777" w:rsidR="00A77B3E" w:rsidRDefault="00A77B3E">
            <w:pPr>
              <w:spacing w:before="100"/>
              <w:rPr>
                <w:color w:val="000000"/>
              </w:rPr>
            </w:pPr>
          </w:p>
          <w:p w14:paraId="627A9B04" w14:textId="77777777" w:rsidR="00A77B3E" w:rsidRDefault="00000000">
            <w:pPr>
              <w:spacing w:before="100"/>
              <w:rPr>
                <w:color w:val="000000"/>
              </w:rPr>
            </w:pPr>
            <w:r>
              <w:rPr>
                <w:rStyle w:val="Strong"/>
                <w:b w:val="0"/>
                <w:color w:val="000000"/>
              </w:rPr>
              <w:t>Strategic Procurement and Environmentally Sustainable Solutions</w:t>
            </w:r>
          </w:p>
          <w:p w14:paraId="1499C6DE" w14:textId="77777777" w:rsidR="00A77B3E" w:rsidRDefault="00000000">
            <w:pPr>
              <w:spacing w:before="100"/>
              <w:rPr>
                <w:color w:val="000000"/>
              </w:rPr>
            </w:pPr>
            <w:r>
              <w:rPr>
                <w:color w:val="000000"/>
              </w:rPr>
              <w:t xml:space="preserve">The Managing Authority will promote the strategic use of public procurement to support actions under this Specific Objective, including </w:t>
            </w:r>
            <w:proofErr w:type="spellStart"/>
            <w:r>
              <w:rPr>
                <w:color w:val="000000"/>
              </w:rPr>
              <w:t>professionalisation</w:t>
            </w:r>
            <w:proofErr w:type="spellEnd"/>
            <w:r>
              <w:rPr>
                <w:color w:val="000000"/>
              </w:rPr>
              <w:t xml:space="preserve"> efforts to address capacity gaps. Beneficiaries will be encouraged to use more quality-related and lifecycle cost criteria. When feasible, environmental (e.g., green public procurement criteria) and social considerations as well as innovation incentives will be incorporated into public procurement procedures.</w:t>
            </w:r>
          </w:p>
          <w:p w14:paraId="6A6EE107" w14:textId="77777777" w:rsidR="00A77B3E" w:rsidRDefault="00A77B3E">
            <w:pPr>
              <w:spacing w:before="100"/>
              <w:rPr>
                <w:color w:val="000000"/>
              </w:rPr>
            </w:pPr>
          </w:p>
          <w:p w14:paraId="3ABBB417" w14:textId="77777777" w:rsidR="00A77B3E" w:rsidRDefault="00000000">
            <w:pPr>
              <w:spacing w:before="100"/>
              <w:rPr>
                <w:color w:val="000000"/>
              </w:rPr>
            </w:pPr>
            <w:r>
              <w:rPr>
                <w:color w:val="000000"/>
              </w:rPr>
              <w:t>The selection of projects will be made based on criteria that take into account the most environmentally sustainable solutions. These criteria shall be adapted to the nature of the intervention and applied as widely as possible.</w:t>
            </w:r>
          </w:p>
          <w:p w14:paraId="4DF8BB6F" w14:textId="77777777" w:rsidR="00A77B3E" w:rsidRDefault="00A77B3E">
            <w:pPr>
              <w:spacing w:before="100"/>
              <w:rPr>
                <w:color w:val="000000"/>
              </w:rPr>
            </w:pPr>
          </w:p>
          <w:p w14:paraId="5A3B6C70" w14:textId="77777777" w:rsidR="00A77B3E" w:rsidRDefault="00000000">
            <w:pPr>
              <w:spacing w:before="100"/>
              <w:rPr>
                <w:color w:val="000000"/>
              </w:rPr>
            </w:pPr>
            <w:r>
              <w:rPr>
                <w:rStyle w:val="Strong"/>
                <w:b w:val="0"/>
                <w:color w:val="000000"/>
              </w:rPr>
              <w:t>Do No Significant Harm (DNSH) Analysis</w:t>
            </w:r>
          </w:p>
          <w:p w14:paraId="34BBD9BB" w14:textId="77777777" w:rsidR="00A77B3E" w:rsidRDefault="00000000">
            <w:pPr>
              <w:spacing w:before="100"/>
              <w:rPr>
                <w:color w:val="000000"/>
              </w:rPr>
            </w:pPr>
            <w:r>
              <w:rPr>
                <w:color w:val="000000"/>
              </w:rPr>
              <w:t>A DNSH analysis has been carried out at the level of the types of actions defined above and it has been determined that these actions would do no significant harm to environmental objectives within the meaning of Article 17 of Regulation (EU) 2020/852 of the European Parliament and of the Council.</w:t>
            </w:r>
          </w:p>
          <w:p w14:paraId="259CBAFE" w14:textId="77777777" w:rsidR="00A77B3E" w:rsidRDefault="00A77B3E">
            <w:pPr>
              <w:spacing w:before="100"/>
              <w:rPr>
                <w:color w:val="000000"/>
                <w:sz w:val="6"/>
              </w:rPr>
            </w:pPr>
          </w:p>
          <w:p w14:paraId="08BE76DF" w14:textId="77777777" w:rsidR="00A77B3E" w:rsidRDefault="00A77B3E">
            <w:pPr>
              <w:spacing w:before="100"/>
              <w:rPr>
                <w:color w:val="000000"/>
                <w:sz w:val="6"/>
              </w:rPr>
            </w:pPr>
          </w:p>
        </w:tc>
      </w:tr>
    </w:tbl>
    <w:p w14:paraId="5867744C" w14:textId="77777777" w:rsidR="00A77B3E" w:rsidRDefault="00A77B3E">
      <w:pPr>
        <w:spacing w:before="100"/>
        <w:rPr>
          <w:color w:val="000000"/>
        </w:rPr>
      </w:pPr>
    </w:p>
    <w:p w14:paraId="13E561FA" w14:textId="77777777" w:rsidR="00A77B3E" w:rsidRDefault="00000000">
      <w:pPr>
        <w:pStyle w:val="Heading5"/>
        <w:spacing w:before="100" w:after="0"/>
        <w:rPr>
          <w:b w:val="0"/>
          <w:i w:val="0"/>
          <w:color w:val="000000"/>
          <w:sz w:val="24"/>
        </w:rPr>
      </w:pPr>
      <w:bookmarkStart w:id="8" w:name="_Toc256000165"/>
      <w:r>
        <w:rPr>
          <w:b w:val="0"/>
          <w:i w:val="0"/>
          <w:color w:val="000000"/>
          <w:sz w:val="24"/>
        </w:rPr>
        <w:t>The main target groups - point (d)(iii) of Article 22(3) CPR:</w:t>
      </w:r>
      <w:bookmarkEnd w:id="8"/>
    </w:p>
    <w:p w14:paraId="61EC698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64ED9AD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4599DC67" w14:textId="77777777" w:rsidR="00A77B3E" w:rsidRDefault="00A77B3E">
            <w:pPr>
              <w:spacing w:before="100"/>
              <w:rPr>
                <w:color w:val="000000"/>
                <w:sz w:val="0"/>
              </w:rPr>
            </w:pPr>
          </w:p>
          <w:p w14:paraId="3AA92C44" w14:textId="77777777" w:rsidR="00A77B3E" w:rsidRDefault="00000000">
            <w:pPr>
              <w:spacing w:before="100"/>
              <w:rPr>
                <w:color w:val="000000"/>
              </w:rPr>
            </w:pPr>
            <w:r>
              <w:rPr>
                <w:color w:val="000000"/>
              </w:rPr>
              <w:lastRenderedPageBreak/>
              <w:t xml:space="preserve">The main target beneficiaries for the actions under RSO1.1 are the universities in the </w:t>
            </w:r>
            <w:proofErr w:type="spellStart"/>
            <w:r>
              <w:rPr>
                <w:color w:val="000000"/>
              </w:rPr>
              <w:t>programme</w:t>
            </w:r>
            <w:proofErr w:type="spellEnd"/>
            <w:r>
              <w:rPr>
                <w:color w:val="000000"/>
              </w:rPr>
              <w:t xml:space="preserve"> area, with a particular focus on the four new Technological Universities. Other potential beneficiaries include the remaining Institutes of Technology, other public Research Performing </w:t>
            </w:r>
            <w:proofErr w:type="spellStart"/>
            <w:r>
              <w:rPr>
                <w:color w:val="000000"/>
              </w:rPr>
              <w:t>Organisations</w:t>
            </w:r>
            <w:proofErr w:type="spellEnd"/>
            <w:r>
              <w:rPr>
                <w:color w:val="000000"/>
              </w:rPr>
              <w:t xml:space="preserve"> (RPOs), and Small and Medium Enterprises (SMEs). </w:t>
            </w:r>
          </w:p>
          <w:p w14:paraId="0714062C" w14:textId="77777777" w:rsidR="00A77B3E" w:rsidRDefault="00A77B3E">
            <w:pPr>
              <w:spacing w:before="100"/>
              <w:rPr>
                <w:color w:val="000000"/>
              </w:rPr>
            </w:pPr>
          </w:p>
          <w:p w14:paraId="263D74D1" w14:textId="77777777" w:rsidR="00A77B3E" w:rsidRDefault="00000000">
            <w:pPr>
              <w:spacing w:before="100"/>
              <w:rPr>
                <w:color w:val="000000"/>
              </w:rPr>
            </w:pPr>
            <w:r>
              <w:rPr>
                <w:color w:val="000000"/>
              </w:rPr>
              <w:t xml:space="preserve">The non-financial supports provided by the beneficiaries to enterprises in the regions under Actions RSO1.1.1 to RSO1.1.5 will target Small and Medium Enterprises, including microenterprises, with some actions targeting the creation of spin-outs and high potential start-ups (HPSUs). Non-financial supports will also benefit some large indigenous enterprises and multinational companies in the regions as the beneficiaries have an important role to play in increasing the collaboration between indigenous enterprises and multinational companies in RD&amp;I. </w:t>
            </w:r>
          </w:p>
          <w:p w14:paraId="1EB73D8F" w14:textId="77777777" w:rsidR="00A77B3E" w:rsidRDefault="00A77B3E">
            <w:pPr>
              <w:spacing w:before="100"/>
              <w:rPr>
                <w:color w:val="000000"/>
              </w:rPr>
            </w:pPr>
          </w:p>
          <w:p w14:paraId="76C1634C" w14:textId="77777777" w:rsidR="00A77B3E" w:rsidRDefault="00000000">
            <w:pPr>
              <w:spacing w:before="100"/>
              <w:rPr>
                <w:color w:val="000000"/>
              </w:rPr>
            </w:pPr>
            <w:r>
              <w:rPr>
                <w:color w:val="000000"/>
              </w:rPr>
              <w:t>The financial supports to enterprises under Action RSO1.1.6 Regional Innovation Valleys are intended for Small and Medium Enterprises, including microenterprises.</w:t>
            </w:r>
          </w:p>
          <w:p w14:paraId="740B5E55" w14:textId="77777777" w:rsidR="00A77B3E" w:rsidRDefault="00A77B3E">
            <w:pPr>
              <w:spacing w:before="100"/>
              <w:rPr>
                <w:color w:val="000000"/>
                <w:sz w:val="6"/>
              </w:rPr>
            </w:pPr>
          </w:p>
          <w:p w14:paraId="732EC94E" w14:textId="77777777" w:rsidR="00A77B3E" w:rsidRDefault="00A77B3E">
            <w:pPr>
              <w:spacing w:before="100"/>
              <w:rPr>
                <w:color w:val="000000"/>
                <w:sz w:val="6"/>
              </w:rPr>
            </w:pPr>
          </w:p>
        </w:tc>
      </w:tr>
    </w:tbl>
    <w:p w14:paraId="0A5AEEEC" w14:textId="77777777" w:rsidR="00A77B3E" w:rsidRDefault="00A77B3E">
      <w:pPr>
        <w:spacing w:before="100"/>
        <w:rPr>
          <w:color w:val="000000"/>
        </w:rPr>
      </w:pPr>
    </w:p>
    <w:p w14:paraId="5D8C9705" w14:textId="77777777" w:rsidR="00A77B3E" w:rsidRDefault="00000000">
      <w:pPr>
        <w:pStyle w:val="Heading5"/>
        <w:spacing w:before="100" w:after="0"/>
        <w:rPr>
          <w:b w:val="0"/>
          <w:i w:val="0"/>
          <w:color w:val="000000"/>
          <w:sz w:val="24"/>
        </w:rPr>
      </w:pPr>
      <w:bookmarkStart w:id="9" w:name="_Toc256000166"/>
      <w:r>
        <w:rPr>
          <w:b w:val="0"/>
          <w:i w:val="0"/>
          <w:color w:val="000000"/>
          <w:sz w:val="24"/>
        </w:rPr>
        <w:t>Actions safeguarding equality, inclusion and non-discrimination – point (d)(iv) of Article 22(3) CPR and Article 6 ESF+ Regulation</w:t>
      </w:r>
      <w:bookmarkEnd w:id="9"/>
    </w:p>
    <w:p w14:paraId="758A790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2B416152"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5C50DB33" w14:textId="77777777" w:rsidR="00A77B3E" w:rsidRDefault="00A77B3E">
            <w:pPr>
              <w:spacing w:before="100"/>
              <w:rPr>
                <w:color w:val="000000"/>
                <w:sz w:val="0"/>
              </w:rPr>
            </w:pPr>
          </w:p>
          <w:p w14:paraId="24F62A71" w14:textId="77777777" w:rsidR="00A77B3E" w:rsidRDefault="00000000">
            <w:pPr>
              <w:spacing w:before="100"/>
              <w:rPr>
                <w:color w:val="000000"/>
              </w:rPr>
            </w:pPr>
            <w:r>
              <w:rPr>
                <w:color w:val="000000"/>
              </w:rPr>
              <w:t xml:space="preserve">In line with horizontal principles, the </w:t>
            </w:r>
            <w:proofErr w:type="spellStart"/>
            <w:r>
              <w:rPr>
                <w:color w:val="000000"/>
              </w:rPr>
              <w:t>programme</w:t>
            </w:r>
            <w:proofErr w:type="spellEnd"/>
            <w:r>
              <w:rPr>
                <w:color w:val="000000"/>
              </w:rPr>
              <w:t xml:space="preserve"> considers the EU Charter of fundamental rights gender equality, non-discrimination, including accessibility, as well as other Horizontal Enabling conditions of relevance throughout the whole programming cycle.</w:t>
            </w:r>
          </w:p>
          <w:p w14:paraId="12C6EEA5" w14:textId="77777777" w:rsidR="00A77B3E" w:rsidRDefault="00A77B3E">
            <w:pPr>
              <w:spacing w:before="100"/>
              <w:rPr>
                <w:color w:val="000000"/>
              </w:rPr>
            </w:pPr>
          </w:p>
          <w:p w14:paraId="74BDEF41" w14:textId="77777777" w:rsidR="00A77B3E" w:rsidRDefault="00000000">
            <w:pPr>
              <w:spacing w:before="100"/>
              <w:rPr>
                <w:color w:val="000000"/>
              </w:rPr>
            </w:pPr>
            <w:r>
              <w:rPr>
                <w:color w:val="000000"/>
              </w:rPr>
              <w:t xml:space="preserve">Stakeholders representing gender, equality, disability, immigrant, and minority groups have been included in the </w:t>
            </w:r>
            <w:proofErr w:type="spellStart"/>
            <w:r>
              <w:rPr>
                <w:color w:val="000000"/>
              </w:rPr>
              <w:t>programme</w:t>
            </w:r>
            <w:proofErr w:type="spellEnd"/>
            <w:r>
              <w:rPr>
                <w:color w:val="000000"/>
              </w:rPr>
              <w:t xml:space="preserve"> design stage through membership of the Partnership Process Steering Group and as part of the public consultations that have taken place.</w:t>
            </w:r>
          </w:p>
          <w:p w14:paraId="35907D1C" w14:textId="77777777" w:rsidR="00A77B3E" w:rsidRDefault="00A77B3E">
            <w:pPr>
              <w:spacing w:before="100"/>
              <w:rPr>
                <w:color w:val="000000"/>
              </w:rPr>
            </w:pPr>
          </w:p>
          <w:p w14:paraId="031C759D" w14:textId="77777777" w:rsidR="00A77B3E" w:rsidRDefault="00000000">
            <w:pPr>
              <w:spacing w:before="100"/>
              <w:rPr>
                <w:color w:val="000000"/>
              </w:rPr>
            </w:pPr>
            <w:r>
              <w:rPr>
                <w:color w:val="000000"/>
              </w:rPr>
              <w:t xml:space="preserve">The </w:t>
            </w:r>
            <w:proofErr w:type="spellStart"/>
            <w:r>
              <w:rPr>
                <w:color w:val="000000"/>
              </w:rPr>
              <w:t>programme</w:t>
            </w:r>
            <w:proofErr w:type="spellEnd"/>
            <w:r>
              <w:rPr>
                <w:color w:val="000000"/>
              </w:rPr>
              <w:t xml:space="preserve"> will adhere to the best practice recommendations during implementation of the </w:t>
            </w:r>
            <w:proofErr w:type="spellStart"/>
            <w:r>
              <w:rPr>
                <w:color w:val="000000"/>
              </w:rPr>
              <w:t>programme</w:t>
            </w:r>
            <w:proofErr w:type="spellEnd"/>
            <w:r>
              <w:rPr>
                <w:color w:val="000000"/>
              </w:rPr>
              <w:t xml:space="preserve">, throughout the preparation, implementation, monitoring, reporting and evaluation of programmes by ensuring that equality between men and women, gender mainstreaming and the integration of a gender perspective are taken into account and promoted. Simultaneously, the </w:t>
            </w:r>
            <w:proofErr w:type="spellStart"/>
            <w:r>
              <w:rPr>
                <w:color w:val="000000"/>
              </w:rPr>
              <w:t>programme</w:t>
            </w:r>
            <w:proofErr w:type="spellEnd"/>
            <w:r>
              <w:rPr>
                <w:color w:val="000000"/>
              </w:rPr>
              <w:t xml:space="preserve"> will take appropriate steps to prevent any discrimination based on gender, racial or ethnic origin, religion or belief, disability, age or sexual orientation.</w:t>
            </w:r>
          </w:p>
          <w:p w14:paraId="75D8C4B9" w14:textId="77777777" w:rsidR="00A77B3E" w:rsidRDefault="00A77B3E">
            <w:pPr>
              <w:spacing w:before="100"/>
              <w:rPr>
                <w:color w:val="000000"/>
              </w:rPr>
            </w:pPr>
          </w:p>
          <w:p w14:paraId="17FFF25C" w14:textId="77777777" w:rsidR="00A77B3E" w:rsidRDefault="00000000">
            <w:pPr>
              <w:spacing w:before="100"/>
              <w:rPr>
                <w:color w:val="000000"/>
              </w:rPr>
            </w:pPr>
            <w:r>
              <w:rPr>
                <w:color w:val="000000"/>
              </w:rPr>
              <w:t xml:space="preserve">Ireland's "Public Sector Equality and Human Rights Duty" provides an important framework for implementing the horizontal principles. The assessment of equality and human rights issues required under the Duty provides a key framework to assist in ensuring initiatives include the appropriate actions and processes necessary to fully respect the horizontal principles. The </w:t>
            </w:r>
            <w:proofErr w:type="spellStart"/>
            <w:r>
              <w:rPr>
                <w:color w:val="000000"/>
              </w:rPr>
              <w:t>programme</w:t>
            </w:r>
            <w:proofErr w:type="spellEnd"/>
            <w:r>
              <w:rPr>
                <w:color w:val="000000"/>
              </w:rPr>
              <w:t xml:space="preserve"> will have access to and make use of the Equality and Human Rights in CPR Programming Guidance Tool. The guidance tool was published in 2022 and provides a practical and bespoke support for Managing Authorities, </w:t>
            </w:r>
            <w:r>
              <w:rPr>
                <w:color w:val="000000"/>
              </w:rPr>
              <w:lastRenderedPageBreak/>
              <w:t>Intermediate Bodies and Beneficiary Bodies under CPR programmes in Ireland which outlines compliance requirements under Irish national law as well as CPR adherence.</w:t>
            </w:r>
          </w:p>
          <w:p w14:paraId="51017548" w14:textId="77777777" w:rsidR="00A77B3E" w:rsidRDefault="00A77B3E">
            <w:pPr>
              <w:spacing w:before="100"/>
              <w:rPr>
                <w:color w:val="000000"/>
              </w:rPr>
            </w:pPr>
          </w:p>
          <w:p w14:paraId="3FFD3E65" w14:textId="77777777" w:rsidR="00A77B3E" w:rsidRDefault="00000000">
            <w:pPr>
              <w:spacing w:before="100"/>
              <w:rPr>
                <w:color w:val="000000"/>
              </w:rPr>
            </w:pPr>
            <w:r>
              <w:rPr>
                <w:color w:val="000000"/>
              </w:rPr>
              <w:t>During implementation, key stakeholders such as human rights bodies will be represented on Programme Monitoring Committee. Funding calls involving public bodies will be subject to implementation of the Public Sector Equality and Human Rights Duty through an assessment of the relevant equality and human rights issues and a review to ensure an adequate and appropriate response to issues.</w:t>
            </w:r>
          </w:p>
          <w:p w14:paraId="714F9077" w14:textId="77777777" w:rsidR="00A77B3E" w:rsidRDefault="00A77B3E">
            <w:pPr>
              <w:spacing w:before="100"/>
              <w:rPr>
                <w:color w:val="000000"/>
                <w:sz w:val="6"/>
              </w:rPr>
            </w:pPr>
          </w:p>
          <w:p w14:paraId="14661507" w14:textId="77777777" w:rsidR="00A77B3E" w:rsidRDefault="00A77B3E">
            <w:pPr>
              <w:spacing w:before="100"/>
              <w:rPr>
                <w:color w:val="000000"/>
                <w:sz w:val="6"/>
              </w:rPr>
            </w:pPr>
          </w:p>
        </w:tc>
      </w:tr>
    </w:tbl>
    <w:p w14:paraId="063F4DFA" w14:textId="77777777" w:rsidR="00A77B3E" w:rsidRDefault="00A77B3E">
      <w:pPr>
        <w:spacing w:before="100"/>
        <w:rPr>
          <w:color w:val="000000"/>
        </w:rPr>
      </w:pPr>
    </w:p>
    <w:p w14:paraId="459F125D" w14:textId="77777777" w:rsidR="00A77B3E" w:rsidRDefault="00000000">
      <w:pPr>
        <w:pStyle w:val="Heading5"/>
        <w:spacing w:before="100" w:after="0"/>
        <w:rPr>
          <w:b w:val="0"/>
          <w:i w:val="0"/>
          <w:color w:val="000000"/>
          <w:sz w:val="24"/>
        </w:rPr>
      </w:pPr>
      <w:bookmarkStart w:id="10" w:name="_Toc256000167"/>
      <w:r>
        <w:rPr>
          <w:b w:val="0"/>
          <w:i w:val="0"/>
          <w:color w:val="000000"/>
          <w:sz w:val="24"/>
        </w:rPr>
        <w:t>Indication of the specific territories targeted, including the planned use of territorial tools – point (d)(v) of Article 22(3) CPR</w:t>
      </w:r>
      <w:bookmarkEnd w:id="10"/>
    </w:p>
    <w:p w14:paraId="0290498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2FECFE16"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7460E441" w14:textId="77777777" w:rsidR="00A77B3E" w:rsidRDefault="00A77B3E">
            <w:pPr>
              <w:spacing w:before="100"/>
              <w:rPr>
                <w:color w:val="000000"/>
                <w:sz w:val="0"/>
              </w:rPr>
            </w:pPr>
          </w:p>
          <w:p w14:paraId="44217E43" w14:textId="77777777" w:rsidR="00A77B3E" w:rsidRDefault="00000000">
            <w:pPr>
              <w:spacing w:before="100"/>
              <w:rPr>
                <w:color w:val="000000"/>
              </w:rPr>
            </w:pPr>
            <w:r>
              <w:rPr>
                <w:color w:val="000000"/>
              </w:rPr>
              <w:t xml:space="preserve">Supported actions will take place throughout the two NUT2 regions in the </w:t>
            </w:r>
            <w:proofErr w:type="spellStart"/>
            <w:r>
              <w:rPr>
                <w:color w:val="000000"/>
              </w:rPr>
              <w:t>programme</w:t>
            </w:r>
            <w:proofErr w:type="spellEnd"/>
            <w:r>
              <w:rPr>
                <w:color w:val="000000"/>
              </w:rPr>
              <w:t xml:space="preserve"> area. No territorial tools will be used under this specific objective. </w:t>
            </w:r>
          </w:p>
          <w:p w14:paraId="53F5A96E" w14:textId="77777777" w:rsidR="00A77B3E" w:rsidRDefault="00A77B3E">
            <w:pPr>
              <w:spacing w:before="100"/>
              <w:rPr>
                <w:color w:val="000000"/>
                <w:sz w:val="6"/>
              </w:rPr>
            </w:pPr>
          </w:p>
          <w:p w14:paraId="1271B9AE" w14:textId="77777777" w:rsidR="00A77B3E" w:rsidRDefault="00A77B3E">
            <w:pPr>
              <w:spacing w:before="100"/>
              <w:rPr>
                <w:color w:val="000000"/>
                <w:sz w:val="6"/>
              </w:rPr>
            </w:pPr>
          </w:p>
        </w:tc>
      </w:tr>
    </w:tbl>
    <w:p w14:paraId="31DC5C79" w14:textId="77777777" w:rsidR="00A77B3E" w:rsidRDefault="00A77B3E">
      <w:pPr>
        <w:spacing w:before="100"/>
        <w:rPr>
          <w:color w:val="000000"/>
        </w:rPr>
      </w:pPr>
    </w:p>
    <w:p w14:paraId="6DD4568F" w14:textId="77777777" w:rsidR="00A77B3E" w:rsidRDefault="00000000">
      <w:pPr>
        <w:pStyle w:val="Heading5"/>
        <w:spacing w:before="100" w:after="0"/>
        <w:rPr>
          <w:b w:val="0"/>
          <w:i w:val="0"/>
          <w:color w:val="000000"/>
          <w:sz w:val="24"/>
        </w:rPr>
      </w:pPr>
      <w:bookmarkStart w:id="11" w:name="_Toc256000168"/>
      <w:r>
        <w:rPr>
          <w:b w:val="0"/>
          <w:i w:val="0"/>
          <w:color w:val="000000"/>
          <w:sz w:val="24"/>
        </w:rPr>
        <w:t>The interregional, cross-border and transnational actions – point (d)(vi) of Article 22(3) CPR</w:t>
      </w:r>
      <w:bookmarkEnd w:id="11"/>
    </w:p>
    <w:p w14:paraId="0609AC8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959E073"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3C2C8532" w14:textId="77777777" w:rsidR="00A77B3E" w:rsidRDefault="00A77B3E">
            <w:pPr>
              <w:spacing w:before="100"/>
              <w:rPr>
                <w:color w:val="000000"/>
                <w:sz w:val="0"/>
              </w:rPr>
            </w:pPr>
          </w:p>
          <w:p w14:paraId="12FE93F4" w14:textId="77777777" w:rsidR="00A77B3E" w:rsidRDefault="00000000">
            <w:pPr>
              <w:spacing w:before="100"/>
              <w:rPr>
                <w:color w:val="000000"/>
              </w:rPr>
            </w:pPr>
            <w:r>
              <w:rPr>
                <w:color w:val="000000"/>
              </w:rPr>
              <w:t xml:space="preserve">The creation of the Technological Universities is a powerful complement to the established universities which already perform strongly and impactfully at interregional, cross-border and transnational levels. Action RSO1.1.1 and Action RSO1.1.2 will empower these new institutions to </w:t>
            </w:r>
            <w:proofErr w:type="spellStart"/>
            <w:r>
              <w:rPr>
                <w:color w:val="000000"/>
              </w:rPr>
              <w:t>realise</w:t>
            </w:r>
            <w:proofErr w:type="spellEnd"/>
            <w:r>
              <w:rPr>
                <w:color w:val="000000"/>
              </w:rPr>
              <w:t xml:space="preserve"> their potential in their regions and beyond, building on their distinctive R&amp;I capability and increasing their collaboration with enterprise.</w:t>
            </w:r>
          </w:p>
          <w:p w14:paraId="4B7EA160" w14:textId="77777777" w:rsidR="00A77B3E" w:rsidRDefault="00A77B3E">
            <w:pPr>
              <w:spacing w:before="100"/>
              <w:rPr>
                <w:color w:val="000000"/>
              </w:rPr>
            </w:pPr>
          </w:p>
          <w:p w14:paraId="5401C062" w14:textId="77777777" w:rsidR="00A77B3E" w:rsidRDefault="00000000">
            <w:pPr>
              <w:spacing w:before="100"/>
              <w:rPr>
                <w:color w:val="000000"/>
              </w:rPr>
            </w:pPr>
            <w:r>
              <w:rPr>
                <w:color w:val="000000"/>
              </w:rPr>
              <w:t xml:space="preserve">These actions will help build a pipeline of R&amp;I projects and investment, including for example, funding under Horizon Europe. Ireland's S3 identifies participation in the EU R&amp;I framework programmes as the most effective mechanism for the Irish R&amp;I community to collaborate with their counterparts in other countries. Ireland performed well under Horizon 2020, especially when adjusting for the size of our research base, submitting nearly 18,000 applications across all work programmes, with a success rate of 14.7% against an EU average of 12%. Irish SMEs were particularly successful, with nearly 5,000 applications securing over €300 million. The TU's increased R&amp;I capacity and increased engagement with industry will allow them to play their part at a regional level in meeting the national target for Horizon Europe of €1.5 billion, as set out in Impact 2030: Ireland’s Research and Innovation Strategy (2022). It also creates significant opportunities under </w:t>
            </w:r>
            <w:proofErr w:type="spellStart"/>
            <w:r>
              <w:rPr>
                <w:color w:val="000000"/>
              </w:rPr>
              <w:t>Interrreg</w:t>
            </w:r>
            <w:proofErr w:type="spellEnd"/>
            <w:r>
              <w:rPr>
                <w:color w:val="000000"/>
              </w:rPr>
              <w:t xml:space="preserve"> programmes, for example, Interreg North West Europe, Interreg Europe and PEACE Plus.</w:t>
            </w:r>
          </w:p>
          <w:p w14:paraId="623E47A4" w14:textId="77777777" w:rsidR="00A77B3E" w:rsidRDefault="00A77B3E">
            <w:pPr>
              <w:spacing w:before="100"/>
              <w:rPr>
                <w:color w:val="000000"/>
              </w:rPr>
            </w:pPr>
          </w:p>
          <w:p w14:paraId="0A4F48D4" w14:textId="77777777" w:rsidR="00A77B3E" w:rsidRDefault="00000000">
            <w:pPr>
              <w:spacing w:before="100"/>
              <w:rPr>
                <w:color w:val="000000"/>
              </w:rPr>
            </w:pPr>
            <w:r>
              <w:rPr>
                <w:color w:val="000000"/>
              </w:rPr>
              <w:t>Action RSO1.1.3 will strengthen knowledge transfer across the entire HEI sector in the region and together with Action RSO1.1.4 and RSO1.1.5 will build capacity in the SME and HEI base to identify funding sources and to prepare professional and robust applications for competitive international R&amp;D funds.</w:t>
            </w:r>
          </w:p>
          <w:p w14:paraId="1EA9B639" w14:textId="77777777" w:rsidR="00A77B3E" w:rsidRDefault="00A77B3E">
            <w:pPr>
              <w:spacing w:before="100"/>
              <w:rPr>
                <w:color w:val="000000"/>
              </w:rPr>
            </w:pPr>
          </w:p>
          <w:p w14:paraId="6FC06DF0" w14:textId="77777777" w:rsidR="00A77B3E" w:rsidRDefault="00000000">
            <w:pPr>
              <w:spacing w:before="100"/>
              <w:rPr>
                <w:color w:val="000000"/>
              </w:rPr>
            </w:pPr>
            <w:r>
              <w:rPr>
                <w:color w:val="000000"/>
              </w:rPr>
              <w:lastRenderedPageBreak/>
              <w:t>Collectively, the full suite of actions under RSO1.1 will help researchers and innovators here to work with the best globally, with a particular focus on existing European collaborations, and on advancing Ireland’s international research and innovation footprint. They support Irish enterprises to adopt the latest advances in green and digital technological breakthroughs, leading to greater technological take-up and more HPSUs and spinouts with the ability to grow, scale and compete on international markets across Ireland’s regions.</w:t>
            </w:r>
          </w:p>
          <w:p w14:paraId="44468A19" w14:textId="77777777" w:rsidR="00A77B3E" w:rsidRDefault="00A77B3E">
            <w:pPr>
              <w:spacing w:before="100"/>
              <w:rPr>
                <w:color w:val="000000"/>
                <w:sz w:val="6"/>
              </w:rPr>
            </w:pPr>
          </w:p>
          <w:p w14:paraId="612CA8F0" w14:textId="77777777" w:rsidR="00A77B3E" w:rsidRDefault="00A77B3E">
            <w:pPr>
              <w:spacing w:before="100"/>
              <w:rPr>
                <w:color w:val="000000"/>
                <w:sz w:val="6"/>
              </w:rPr>
            </w:pPr>
          </w:p>
        </w:tc>
      </w:tr>
    </w:tbl>
    <w:p w14:paraId="58044669" w14:textId="77777777" w:rsidR="00A77B3E" w:rsidRDefault="00A77B3E">
      <w:pPr>
        <w:spacing w:before="100"/>
        <w:rPr>
          <w:color w:val="000000"/>
        </w:rPr>
      </w:pPr>
    </w:p>
    <w:p w14:paraId="370E118C" w14:textId="77777777" w:rsidR="00A77B3E" w:rsidRDefault="00000000">
      <w:pPr>
        <w:pStyle w:val="Heading5"/>
        <w:spacing w:before="100" w:after="0"/>
        <w:rPr>
          <w:b w:val="0"/>
          <w:i w:val="0"/>
          <w:color w:val="000000"/>
          <w:sz w:val="24"/>
        </w:rPr>
      </w:pPr>
      <w:bookmarkStart w:id="12" w:name="_Toc256000169"/>
      <w:r>
        <w:rPr>
          <w:b w:val="0"/>
          <w:i w:val="0"/>
          <w:color w:val="000000"/>
          <w:sz w:val="24"/>
        </w:rPr>
        <w:t>The planned use of financial instruments – point (d)(vii) of Article 22(3) CPR</w:t>
      </w:r>
      <w:bookmarkEnd w:id="12"/>
    </w:p>
    <w:p w14:paraId="31C3F4D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570607D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tcPr>
          <w:p w14:paraId="459397F1" w14:textId="77777777" w:rsidR="00A77B3E" w:rsidRDefault="00A77B3E">
            <w:pPr>
              <w:spacing w:before="100"/>
              <w:rPr>
                <w:color w:val="000000"/>
                <w:sz w:val="0"/>
              </w:rPr>
            </w:pPr>
          </w:p>
          <w:p w14:paraId="4A38E439" w14:textId="77777777" w:rsidR="00A77B3E" w:rsidRDefault="00000000">
            <w:pPr>
              <w:spacing w:before="100"/>
              <w:rPr>
                <w:color w:val="000000"/>
              </w:rPr>
            </w:pPr>
            <w:r>
              <w:rPr>
                <w:color w:val="000000"/>
              </w:rPr>
              <w:t>The selected form of support for all actions under PO1 is grants as none of the supported actions are expected to generate a return during their lifetime. The use of financial instruments would therefore not be feasible as a form of support and would not be attractive to potential beneficiaries.</w:t>
            </w:r>
          </w:p>
          <w:p w14:paraId="03983939" w14:textId="77777777" w:rsidR="00A77B3E" w:rsidRDefault="00A77B3E">
            <w:pPr>
              <w:spacing w:before="100"/>
              <w:rPr>
                <w:color w:val="000000"/>
                <w:sz w:val="6"/>
              </w:rPr>
            </w:pPr>
          </w:p>
          <w:p w14:paraId="01D8035F" w14:textId="77777777" w:rsidR="00A77B3E" w:rsidRDefault="00A77B3E">
            <w:pPr>
              <w:spacing w:before="100"/>
              <w:rPr>
                <w:color w:val="000000"/>
                <w:sz w:val="6"/>
              </w:rPr>
            </w:pPr>
          </w:p>
        </w:tc>
      </w:tr>
    </w:tbl>
    <w:p w14:paraId="1D66882A" w14:textId="77777777" w:rsidR="00A77B3E" w:rsidRDefault="00A77B3E">
      <w:pPr>
        <w:spacing w:before="100"/>
        <w:rPr>
          <w:color w:val="000000"/>
        </w:rPr>
      </w:pPr>
    </w:p>
    <w:p w14:paraId="01827653" w14:textId="77777777" w:rsidR="00A77B3E" w:rsidRDefault="00000000">
      <w:pPr>
        <w:pStyle w:val="Heading4"/>
        <w:spacing w:before="100" w:after="0"/>
        <w:rPr>
          <w:b w:val="0"/>
          <w:color w:val="000000"/>
          <w:sz w:val="24"/>
        </w:rPr>
      </w:pPr>
      <w:bookmarkStart w:id="13" w:name="_Toc256000170"/>
      <w:r>
        <w:rPr>
          <w:b w:val="0"/>
          <w:color w:val="000000"/>
          <w:sz w:val="24"/>
        </w:rPr>
        <w:t>2.1.1.1.2. Indicators</w:t>
      </w:r>
      <w:bookmarkEnd w:id="13"/>
    </w:p>
    <w:p w14:paraId="0501F113" w14:textId="77777777" w:rsidR="00A77B3E" w:rsidRDefault="00A77B3E">
      <w:pPr>
        <w:spacing w:before="100"/>
        <w:rPr>
          <w:color w:val="000000"/>
          <w:sz w:val="0"/>
        </w:rPr>
      </w:pPr>
    </w:p>
    <w:p w14:paraId="368A0BBE" w14:textId="77777777" w:rsidR="00A77B3E" w:rsidRDefault="00000000">
      <w:pPr>
        <w:spacing w:before="100"/>
        <w:rPr>
          <w:color w:val="000000"/>
          <w:sz w:val="0"/>
        </w:rPr>
      </w:pPr>
      <w:r>
        <w:rPr>
          <w:color w:val="000000"/>
        </w:rPr>
        <w:t>Reference: point (d)(ii) of Article 22(3) CPR and Article 8 ERDF and CF Regulation</w:t>
      </w:r>
    </w:p>
    <w:p w14:paraId="68F152F1" w14:textId="77777777" w:rsidR="00A77B3E" w:rsidRDefault="00000000">
      <w:pPr>
        <w:pStyle w:val="Heading5"/>
        <w:spacing w:before="100" w:after="0"/>
        <w:rPr>
          <w:b w:val="0"/>
          <w:i w:val="0"/>
          <w:color w:val="000000"/>
          <w:sz w:val="24"/>
        </w:rPr>
      </w:pPr>
      <w:bookmarkStart w:id="14" w:name="_Toc256000171"/>
      <w:r>
        <w:rPr>
          <w:b w:val="0"/>
          <w:i w:val="0"/>
          <w:color w:val="000000"/>
          <w:sz w:val="24"/>
        </w:rPr>
        <w:t>Table 2: Output indicators</w:t>
      </w:r>
      <w:bookmarkEnd w:id="14"/>
    </w:p>
    <w:p w14:paraId="0D07DD1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476"/>
        <w:gridCol w:w="632"/>
        <w:gridCol w:w="1551"/>
        <w:gridCol w:w="732"/>
        <w:gridCol w:w="5553"/>
        <w:gridCol w:w="1881"/>
        <w:gridCol w:w="1436"/>
        <w:gridCol w:w="1179"/>
      </w:tblGrid>
      <w:tr w:rsidR="00B82D50" w14:paraId="1B7E236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BA7B27"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1343EF"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220D95"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6FCAD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C69A44"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18EEFC"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94E993"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D196CD" w14:textId="77777777" w:rsidR="00A77B3E" w:rsidRDefault="00000000">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930D9D" w14:textId="77777777" w:rsidR="00A77B3E" w:rsidRDefault="00000000">
            <w:pPr>
              <w:spacing w:before="100"/>
              <w:jc w:val="center"/>
              <w:rPr>
                <w:color w:val="000000"/>
                <w:sz w:val="20"/>
              </w:rPr>
            </w:pPr>
            <w:r>
              <w:rPr>
                <w:color w:val="000000"/>
                <w:sz w:val="20"/>
              </w:rPr>
              <w:t>Target (2029)</w:t>
            </w:r>
          </w:p>
        </w:tc>
      </w:tr>
      <w:tr w:rsidR="00B82D50" w14:paraId="4564AF7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20879F"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FFC5DC"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5686BA"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7B666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159A7F" w14:textId="77777777" w:rsidR="00A77B3E" w:rsidRDefault="00000000">
            <w:pPr>
              <w:spacing w:before="100"/>
              <w:rPr>
                <w:color w:val="000000"/>
                <w:sz w:val="20"/>
              </w:rPr>
            </w:pPr>
            <w:r>
              <w:rPr>
                <w:color w:val="000000"/>
                <w:sz w:val="20"/>
              </w:rPr>
              <w:t>RCO01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4E2BC" w14:textId="77777777" w:rsidR="00A77B3E" w:rsidRDefault="00000000">
            <w:pPr>
              <w:spacing w:before="100"/>
              <w:rPr>
                <w:color w:val="000000"/>
                <w:sz w:val="20"/>
              </w:rPr>
            </w:pPr>
            <w:r>
              <w:rPr>
                <w:color w:val="000000"/>
                <w:sz w:val="20"/>
              </w:rPr>
              <w:t>Enterprises supported (of which: micro, small, medium, large)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0B3605"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240A9F" w14:textId="77777777" w:rsidR="00A77B3E" w:rsidRDefault="00000000">
            <w:pPr>
              <w:spacing w:before="100"/>
              <w:jc w:val="right"/>
              <w:rPr>
                <w:color w:val="000000"/>
                <w:sz w:val="20"/>
              </w:rPr>
            </w:pPr>
            <w:r>
              <w:rPr>
                <w:color w:val="000000"/>
                <w:sz w:val="20"/>
              </w:rPr>
              <w:t>1,164.00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B8676E" w14:textId="77777777" w:rsidR="00A77B3E" w:rsidRDefault="00000000">
            <w:pPr>
              <w:spacing w:before="100"/>
              <w:jc w:val="right"/>
              <w:rPr>
                <w:color w:val="000000"/>
                <w:sz w:val="20"/>
              </w:rPr>
            </w:pPr>
            <w:r>
              <w:rPr>
                <w:color w:val="000000"/>
                <w:sz w:val="20"/>
              </w:rPr>
              <w:t>6,369.00</w:t>
            </w:r>
          </w:p>
        </w:tc>
      </w:tr>
      <w:tr w:rsidR="00B82D50" w14:paraId="1B5BA59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AD4805"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B0BA17"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DFC8C3"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25DAD4"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489F67" w14:textId="77777777" w:rsidR="00A77B3E" w:rsidRDefault="00000000">
            <w:pPr>
              <w:spacing w:before="100"/>
              <w:rPr>
                <w:color w:val="000000"/>
                <w:sz w:val="20"/>
              </w:rPr>
            </w:pPr>
            <w:r>
              <w:rPr>
                <w:color w:val="000000"/>
                <w:sz w:val="20"/>
              </w:rPr>
              <w:t>RCO02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180896" w14:textId="77777777" w:rsidR="00A77B3E" w:rsidRDefault="00000000">
            <w:pPr>
              <w:spacing w:before="100"/>
              <w:rPr>
                <w:color w:val="000000"/>
                <w:sz w:val="20"/>
              </w:rPr>
            </w:pPr>
            <w:r>
              <w:rPr>
                <w:color w:val="000000"/>
                <w:sz w:val="20"/>
              </w:rPr>
              <w:t>Enterprises supported by grants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0E37FD"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86A20C"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03AEF5" w14:textId="77777777" w:rsidR="00A77B3E" w:rsidRDefault="00000000">
            <w:pPr>
              <w:spacing w:before="100"/>
              <w:jc w:val="right"/>
              <w:rPr>
                <w:color w:val="000000"/>
                <w:sz w:val="20"/>
              </w:rPr>
            </w:pPr>
            <w:r>
              <w:rPr>
                <w:color w:val="000000"/>
                <w:sz w:val="20"/>
              </w:rPr>
              <w:t>18.00</w:t>
            </w:r>
          </w:p>
        </w:tc>
      </w:tr>
      <w:tr w:rsidR="00B82D50" w14:paraId="3B7A317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EBD790"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B97D03"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FDC3CA"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4D0535"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CDA085" w14:textId="77777777" w:rsidR="00A77B3E" w:rsidRDefault="00000000">
            <w:pPr>
              <w:spacing w:before="100"/>
              <w:rPr>
                <w:color w:val="000000"/>
                <w:sz w:val="20"/>
              </w:rPr>
            </w:pPr>
            <w:r>
              <w:rPr>
                <w:color w:val="000000"/>
                <w:sz w:val="20"/>
              </w:rPr>
              <w:t>RCO04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93AEE9" w14:textId="77777777" w:rsidR="00A77B3E" w:rsidRDefault="00000000">
            <w:pPr>
              <w:spacing w:before="100"/>
              <w:rPr>
                <w:color w:val="000000"/>
                <w:sz w:val="20"/>
              </w:rPr>
            </w:pPr>
            <w:r>
              <w:rPr>
                <w:color w:val="000000"/>
                <w:sz w:val="20"/>
              </w:rPr>
              <w:t>Enterprises with non-financial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A9FB02"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0F57CF" w14:textId="77777777" w:rsidR="00A77B3E" w:rsidRDefault="00000000">
            <w:pPr>
              <w:spacing w:before="100"/>
              <w:jc w:val="right"/>
              <w:rPr>
                <w:color w:val="000000"/>
                <w:sz w:val="20"/>
              </w:rPr>
            </w:pPr>
            <w:r>
              <w:rPr>
                <w:color w:val="000000"/>
                <w:sz w:val="20"/>
              </w:rPr>
              <w:t>1,164.00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A8A978" w14:textId="77777777" w:rsidR="00A77B3E" w:rsidRDefault="00000000">
            <w:pPr>
              <w:spacing w:before="100"/>
              <w:jc w:val="right"/>
              <w:rPr>
                <w:color w:val="000000"/>
                <w:sz w:val="20"/>
              </w:rPr>
            </w:pPr>
            <w:r>
              <w:rPr>
                <w:color w:val="000000"/>
                <w:sz w:val="20"/>
              </w:rPr>
              <w:t>6,356.00</w:t>
            </w:r>
          </w:p>
        </w:tc>
      </w:tr>
      <w:tr w:rsidR="00B82D50" w14:paraId="7212E6A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C79584"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BFBE25"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EE7F7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BB80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F034FF" w14:textId="77777777" w:rsidR="00A77B3E" w:rsidRDefault="00000000">
            <w:pPr>
              <w:spacing w:before="100"/>
              <w:rPr>
                <w:color w:val="000000"/>
                <w:sz w:val="20"/>
              </w:rPr>
            </w:pPr>
            <w:r>
              <w:rPr>
                <w:color w:val="000000"/>
                <w:sz w:val="20"/>
              </w:rPr>
              <w:t>RCO05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2DDA8C" w14:textId="77777777" w:rsidR="00A77B3E" w:rsidRDefault="00000000">
            <w:pPr>
              <w:spacing w:before="100"/>
              <w:rPr>
                <w:color w:val="000000"/>
                <w:sz w:val="20"/>
              </w:rPr>
            </w:pPr>
            <w:r>
              <w:rPr>
                <w:color w:val="000000"/>
                <w:sz w:val="20"/>
              </w:rPr>
              <w:t>New enterprises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262ABD"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42747E" w14:textId="77777777" w:rsidR="00A77B3E" w:rsidRDefault="00000000">
            <w:pPr>
              <w:spacing w:before="100"/>
              <w:jc w:val="right"/>
              <w:rPr>
                <w:color w:val="000000"/>
                <w:sz w:val="20"/>
              </w:rPr>
            </w:pPr>
            <w:r>
              <w:rPr>
                <w:color w:val="000000"/>
                <w:sz w:val="20"/>
              </w:rPr>
              <w:t>41.00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7BEBD4" w14:textId="77777777" w:rsidR="00A77B3E" w:rsidRDefault="00000000">
            <w:pPr>
              <w:spacing w:before="100"/>
              <w:jc w:val="right"/>
              <w:rPr>
                <w:color w:val="000000"/>
                <w:sz w:val="20"/>
              </w:rPr>
            </w:pPr>
            <w:r>
              <w:rPr>
                <w:color w:val="000000"/>
                <w:sz w:val="20"/>
              </w:rPr>
              <w:t>256.00</w:t>
            </w:r>
          </w:p>
        </w:tc>
      </w:tr>
      <w:tr w:rsidR="00B82D50" w14:paraId="7C3E82C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267452"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4952B9"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F72A05"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13DF1B"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62C7C1" w14:textId="77777777" w:rsidR="00A77B3E" w:rsidRDefault="00000000">
            <w:pPr>
              <w:spacing w:before="100"/>
              <w:rPr>
                <w:color w:val="000000"/>
                <w:sz w:val="20"/>
              </w:rPr>
            </w:pPr>
            <w:r>
              <w:rPr>
                <w:color w:val="000000"/>
                <w:sz w:val="20"/>
              </w:rPr>
              <w:t>RCO07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9612C1" w14:textId="77777777" w:rsidR="00A77B3E" w:rsidRDefault="00000000">
            <w:pPr>
              <w:spacing w:before="100"/>
              <w:rPr>
                <w:color w:val="000000"/>
                <w:sz w:val="20"/>
              </w:rPr>
            </w:pPr>
            <w:r>
              <w:rPr>
                <w:color w:val="000000"/>
                <w:sz w:val="20"/>
              </w:rPr>
              <w:t xml:space="preserve">Research </w:t>
            </w:r>
            <w:proofErr w:type="spellStart"/>
            <w:r>
              <w:rPr>
                <w:color w:val="000000"/>
                <w:sz w:val="20"/>
              </w:rPr>
              <w:t>organisations</w:t>
            </w:r>
            <w:proofErr w:type="spellEnd"/>
            <w:r>
              <w:rPr>
                <w:color w:val="000000"/>
                <w:sz w:val="20"/>
              </w:rPr>
              <w:t xml:space="preserve"> participating in joint research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5A2F36" w14:textId="77777777" w:rsidR="00A77B3E" w:rsidRDefault="00000000">
            <w:pPr>
              <w:spacing w:before="100"/>
              <w:rPr>
                <w:color w:val="000000"/>
                <w:sz w:val="20"/>
              </w:rPr>
            </w:pPr>
            <w:r>
              <w:rPr>
                <w:color w:val="000000"/>
                <w:sz w:val="20"/>
              </w:rPr>
              <w:t xml:space="preserve">Research </w:t>
            </w:r>
            <w:proofErr w:type="spellStart"/>
            <w:r>
              <w:rPr>
                <w:color w:val="000000"/>
                <w:sz w:val="20"/>
              </w:rPr>
              <w:t>organisations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D1EDD3" w14:textId="77777777" w:rsidR="00A77B3E" w:rsidRDefault="00000000">
            <w:pPr>
              <w:spacing w:before="100"/>
              <w:jc w:val="right"/>
              <w:rPr>
                <w:color w:val="000000"/>
                <w:sz w:val="20"/>
              </w:rPr>
            </w:pPr>
            <w:r>
              <w:rPr>
                <w:color w:val="000000"/>
                <w:sz w:val="20"/>
              </w:rPr>
              <w:t>5.00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9DB53B" w14:textId="77777777" w:rsidR="00A77B3E" w:rsidRDefault="00000000">
            <w:pPr>
              <w:spacing w:before="100"/>
              <w:jc w:val="right"/>
              <w:rPr>
                <w:color w:val="000000"/>
                <w:sz w:val="20"/>
              </w:rPr>
            </w:pPr>
            <w:r>
              <w:rPr>
                <w:color w:val="000000"/>
                <w:sz w:val="20"/>
              </w:rPr>
              <w:t>7.00</w:t>
            </w:r>
          </w:p>
        </w:tc>
      </w:tr>
      <w:tr w:rsidR="00B82D50" w14:paraId="606F34B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2B1CA7"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F6F3EE"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F8D351"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CFACC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2547A1" w14:textId="77777777" w:rsidR="00A77B3E" w:rsidRDefault="00000000">
            <w:pPr>
              <w:spacing w:before="100"/>
              <w:rPr>
                <w:color w:val="000000"/>
                <w:sz w:val="20"/>
              </w:rPr>
            </w:pPr>
            <w:r>
              <w:rPr>
                <w:color w:val="000000"/>
                <w:sz w:val="20"/>
              </w:rPr>
              <w:t>PSO01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39E1CE" w14:textId="77777777" w:rsidR="00A77B3E" w:rsidRDefault="00000000">
            <w:pPr>
              <w:spacing w:before="100"/>
              <w:rPr>
                <w:color w:val="000000"/>
                <w:sz w:val="20"/>
              </w:rPr>
            </w:pPr>
            <w:r>
              <w:rPr>
                <w:color w:val="000000"/>
                <w:sz w:val="20"/>
              </w:rPr>
              <w:t xml:space="preserve">Number of Fellows completing a needs-led innovation training </w:t>
            </w:r>
            <w:proofErr w:type="spellStart"/>
            <w:r>
              <w:rPr>
                <w:color w:val="000000"/>
                <w:sz w:val="20"/>
              </w:rPr>
              <w:t>programme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98481F" w14:textId="77777777" w:rsidR="00A77B3E" w:rsidRDefault="00000000">
            <w:pPr>
              <w:spacing w:before="100"/>
              <w:rPr>
                <w:color w:val="000000"/>
                <w:sz w:val="20"/>
              </w:rPr>
            </w:pPr>
            <w:r>
              <w:rPr>
                <w:color w:val="000000"/>
                <w:sz w:val="20"/>
              </w:rPr>
              <w:t>participants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138E26" w14:textId="77777777" w:rsidR="00A77B3E" w:rsidRDefault="00000000">
            <w:pPr>
              <w:spacing w:before="100"/>
              <w:jc w:val="right"/>
              <w:rPr>
                <w:color w:val="000000"/>
                <w:sz w:val="20"/>
              </w:rPr>
            </w:pPr>
            <w:r>
              <w:rPr>
                <w:color w:val="000000"/>
                <w:sz w:val="20"/>
              </w:rPr>
              <w:t>24.00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412D2E" w14:textId="77777777" w:rsidR="00A77B3E" w:rsidRDefault="00000000">
            <w:pPr>
              <w:spacing w:before="100"/>
              <w:jc w:val="right"/>
              <w:rPr>
                <w:color w:val="000000"/>
                <w:sz w:val="20"/>
              </w:rPr>
            </w:pPr>
            <w:r>
              <w:rPr>
                <w:color w:val="000000"/>
                <w:sz w:val="20"/>
              </w:rPr>
              <w:t>212.00</w:t>
            </w:r>
          </w:p>
        </w:tc>
      </w:tr>
    </w:tbl>
    <w:p w14:paraId="25457B97" w14:textId="77777777" w:rsidR="00A77B3E" w:rsidRDefault="00A77B3E">
      <w:pPr>
        <w:spacing w:before="100"/>
        <w:rPr>
          <w:color w:val="000000"/>
          <w:sz w:val="20"/>
        </w:rPr>
      </w:pPr>
    </w:p>
    <w:p w14:paraId="75A30B0C" w14:textId="77777777" w:rsidR="00A77B3E" w:rsidRDefault="00000000">
      <w:pPr>
        <w:spacing w:before="100"/>
        <w:rPr>
          <w:color w:val="000000"/>
          <w:sz w:val="0"/>
        </w:rPr>
      </w:pPr>
      <w:r>
        <w:rPr>
          <w:color w:val="000000"/>
        </w:rPr>
        <w:t>Reference: point (d)(ii) of Article 22(3) CPR</w:t>
      </w:r>
    </w:p>
    <w:p w14:paraId="0AEBB83C" w14:textId="77777777" w:rsidR="00A77B3E" w:rsidRDefault="00000000">
      <w:pPr>
        <w:pStyle w:val="Heading5"/>
        <w:spacing w:before="100" w:after="0"/>
        <w:rPr>
          <w:b w:val="0"/>
          <w:i w:val="0"/>
          <w:color w:val="000000"/>
          <w:sz w:val="24"/>
        </w:rPr>
      </w:pPr>
      <w:bookmarkStart w:id="15" w:name="_Toc256000172"/>
      <w:r>
        <w:rPr>
          <w:b w:val="0"/>
          <w:i w:val="0"/>
          <w:color w:val="000000"/>
          <w:sz w:val="24"/>
        </w:rPr>
        <w:t>Table 3: Result indicators</w:t>
      </w:r>
      <w:bookmarkEnd w:id="15"/>
    </w:p>
    <w:p w14:paraId="100786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20"/>
        <w:gridCol w:w="632"/>
        <w:gridCol w:w="1202"/>
        <w:gridCol w:w="721"/>
        <w:gridCol w:w="3428"/>
        <w:gridCol w:w="1666"/>
        <w:gridCol w:w="1408"/>
        <w:gridCol w:w="1097"/>
        <w:gridCol w:w="973"/>
        <w:gridCol w:w="1205"/>
        <w:gridCol w:w="987"/>
      </w:tblGrid>
      <w:tr w:rsidR="00B82D50" w14:paraId="496BCCB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BCD905" w14:textId="77777777" w:rsidR="00A77B3E" w:rsidRDefault="00000000">
            <w:pPr>
              <w:spacing w:before="100"/>
              <w:jc w:val="center"/>
              <w:rPr>
                <w:color w:val="000000"/>
                <w:sz w:val="20"/>
              </w:rPr>
            </w:pPr>
            <w:r>
              <w:rPr>
                <w:color w:val="000000"/>
                <w:sz w:val="20"/>
              </w:rPr>
              <w:lastRenderedPageBreak/>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DE4AFD"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EFB242"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9692D4"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8B8471"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64AA16"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DDC8F7"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735D54" w14:textId="77777777" w:rsidR="00A77B3E" w:rsidRDefault="00000000">
            <w:pPr>
              <w:spacing w:before="100"/>
              <w:jc w:val="center"/>
              <w:rPr>
                <w:color w:val="000000"/>
                <w:sz w:val="20"/>
              </w:rPr>
            </w:pPr>
            <w:r>
              <w:rPr>
                <w:color w:val="000000"/>
                <w:sz w:val="20"/>
              </w:rPr>
              <w:t>Baseline or reference value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D06929" w14:textId="77777777" w:rsidR="00A77B3E" w:rsidRDefault="00000000">
            <w:pPr>
              <w:spacing w:before="100"/>
              <w:jc w:val="center"/>
              <w:rPr>
                <w:color w:val="000000"/>
                <w:sz w:val="20"/>
              </w:rPr>
            </w:pPr>
            <w:r>
              <w:rPr>
                <w:color w:val="000000"/>
                <w:sz w:val="20"/>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5F174C" w14:textId="77777777" w:rsidR="00A77B3E" w:rsidRDefault="00000000">
            <w:pPr>
              <w:spacing w:before="100"/>
              <w:jc w:val="center"/>
              <w:rPr>
                <w:color w:val="000000"/>
                <w:sz w:val="20"/>
              </w:rPr>
            </w:pPr>
            <w:r>
              <w:rPr>
                <w:color w:val="000000"/>
                <w:sz w:val="20"/>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0D8A6F" w14:textId="77777777" w:rsidR="00A77B3E" w:rsidRDefault="00000000">
            <w:pPr>
              <w:spacing w:before="100"/>
              <w:jc w:val="center"/>
              <w:rPr>
                <w:color w:val="000000"/>
                <w:sz w:val="20"/>
              </w:rPr>
            </w:pPr>
            <w:r>
              <w:rPr>
                <w:color w:val="000000"/>
                <w:sz w:val="20"/>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84BDA2" w14:textId="77777777" w:rsidR="00A77B3E" w:rsidRDefault="00000000">
            <w:pPr>
              <w:spacing w:before="100"/>
              <w:jc w:val="center"/>
              <w:rPr>
                <w:color w:val="000000"/>
                <w:sz w:val="20"/>
              </w:rPr>
            </w:pPr>
            <w:r>
              <w:rPr>
                <w:color w:val="000000"/>
                <w:sz w:val="20"/>
              </w:rPr>
              <w:t>Comments</w:t>
            </w:r>
          </w:p>
        </w:tc>
      </w:tr>
      <w:tr w:rsidR="00B82D50" w14:paraId="37F109A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9857CD"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6D2179"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A9FC2C"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3BD5F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8C1E20" w14:textId="77777777" w:rsidR="00A77B3E" w:rsidRDefault="00000000">
            <w:pPr>
              <w:spacing w:before="100"/>
              <w:rPr>
                <w:color w:val="000000"/>
                <w:sz w:val="20"/>
              </w:rPr>
            </w:pPr>
            <w:r>
              <w:rPr>
                <w:color w:val="000000"/>
                <w:sz w:val="20"/>
              </w:rPr>
              <w:t>RCR03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6C90B5" w14:textId="77777777" w:rsidR="00A77B3E" w:rsidRDefault="00000000">
            <w:pPr>
              <w:spacing w:before="100"/>
              <w:rPr>
                <w:color w:val="000000"/>
                <w:sz w:val="20"/>
              </w:rPr>
            </w:pPr>
            <w:r>
              <w:rPr>
                <w:color w:val="000000"/>
                <w:sz w:val="20"/>
              </w:rPr>
              <w:t>Small and medium-sized enterprises (SMEs) introducing product or process innovation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F85CDA"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0EDCA7"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3DB1D"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69EFAE" w14:textId="77777777" w:rsidR="00A77B3E" w:rsidRDefault="00000000">
            <w:pPr>
              <w:spacing w:before="100"/>
              <w:jc w:val="right"/>
              <w:rPr>
                <w:color w:val="000000"/>
                <w:sz w:val="20"/>
              </w:rPr>
            </w:pPr>
            <w:r>
              <w:rPr>
                <w:color w:val="000000"/>
                <w:sz w:val="20"/>
              </w:rPr>
              <w:t>1,677.00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1CC1B3" w14:textId="77777777" w:rsidR="00A77B3E" w:rsidRDefault="00000000">
            <w:pPr>
              <w:spacing w:before="100"/>
              <w:rPr>
                <w:color w:val="000000"/>
                <w:sz w:val="20"/>
              </w:rPr>
            </w:pPr>
            <w:r>
              <w:rPr>
                <w:color w:val="000000"/>
                <w:sz w:val="20"/>
              </w:rPr>
              <w:t>Supported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3FC18C" w14:textId="77777777" w:rsidR="00A77B3E" w:rsidRDefault="00A77B3E">
            <w:pPr>
              <w:spacing w:before="100"/>
              <w:rPr>
                <w:color w:val="000000"/>
                <w:sz w:val="20"/>
              </w:rPr>
            </w:pPr>
          </w:p>
        </w:tc>
      </w:tr>
      <w:tr w:rsidR="00B82D50" w14:paraId="4CC95D5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0D0851"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04D66E"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A30CFB"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35DCE9"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68CDC8" w14:textId="77777777" w:rsidR="00A77B3E" w:rsidRDefault="00000000">
            <w:pPr>
              <w:spacing w:before="100"/>
              <w:rPr>
                <w:color w:val="000000"/>
                <w:sz w:val="20"/>
              </w:rPr>
            </w:pPr>
            <w:r>
              <w:rPr>
                <w:color w:val="000000"/>
                <w:sz w:val="20"/>
              </w:rPr>
              <w:t>RCR06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AB4426" w14:textId="77777777" w:rsidR="00A77B3E" w:rsidRDefault="00000000">
            <w:pPr>
              <w:spacing w:before="100"/>
              <w:rPr>
                <w:color w:val="000000"/>
                <w:sz w:val="20"/>
              </w:rPr>
            </w:pPr>
            <w:r>
              <w:rPr>
                <w:color w:val="000000"/>
                <w:sz w:val="20"/>
              </w:rPr>
              <w:t>Patent applications submitted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62657C" w14:textId="77777777" w:rsidR="00A77B3E" w:rsidRDefault="00000000">
            <w:pPr>
              <w:spacing w:before="100"/>
              <w:rPr>
                <w:color w:val="000000"/>
                <w:sz w:val="20"/>
              </w:rPr>
            </w:pPr>
            <w:r>
              <w:rPr>
                <w:color w:val="000000"/>
                <w:sz w:val="20"/>
              </w:rPr>
              <w:t>patent applications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DC0D4F"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F73935"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5A9837" w14:textId="77777777" w:rsidR="00A77B3E" w:rsidRDefault="00000000">
            <w:pPr>
              <w:spacing w:before="100"/>
              <w:jc w:val="right"/>
              <w:rPr>
                <w:color w:val="000000"/>
                <w:sz w:val="20"/>
              </w:rPr>
            </w:pPr>
            <w:r>
              <w:rPr>
                <w:color w:val="000000"/>
                <w:sz w:val="20"/>
              </w:rPr>
              <w:t>11.00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8E80BF"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EE0883" w14:textId="77777777" w:rsidR="00A77B3E" w:rsidRDefault="00A77B3E">
            <w:pPr>
              <w:spacing w:before="100"/>
              <w:rPr>
                <w:color w:val="000000"/>
                <w:sz w:val="20"/>
              </w:rPr>
            </w:pPr>
          </w:p>
        </w:tc>
      </w:tr>
      <w:tr w:rsidR="00B82D50" w14:paraId="279C565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0F6F1B"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265319"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4EBC53"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9B989D"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3A9E6B" w14:textId="77777777" w:rsidR="00A77B3E" w:rsidRDefault="00000000">
            <w:pPr>
              <w:spacing w:before="100"/>
              <w:rPr>
                <w:color w:val="000000"/>
                <w:sz w:val="20"/>
              </w:rPr>
            </w:pPr>
            <w:r>
              <w:rPr>
                <w:color w:val="000000"/>
                <w:sz w:val="20"/>
              </w:rPr>
              <w:t>PSR01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C517A" w14:textId="77777777" w:rsidR="00A77B3E" w:rsidRDefault="00000000">
            <w:pPr>
              <w:spacing w:before="100"/>
              <w:rPr>
                <w:color w:val="000000"/>
                <w:sz w:val="20"/>
              </w:rPr>
            </w:pPr>
            <w:r>
              <w:rPr>
                <w:color w:val="000000"/>
                <w:sz w:val="20"/>
              </w:rPr>
              <w:t xml:space="preserve">Annual Number of </w:t>
            </w:r>
            <w:proofErr w:type="spellStart"/>
            <w:r>
              <w:rPr>
                <w:color w:val="000000"/>
                <w:sz w:val="20"/>
              </w:rPr>
              <w:t>Licences</w:t>
            </w:r>
            <w:proofErr w:type="spellEnd"/>
            <w:r>
              <w:rPr>
                <w:color w:val="000000"/>
                <w:sz w:val="20"/>
              </w:rPr>
              <w:t>, Options and Assignments in funded HEIs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2E90A8" w14:textId="77777777" w:rsidR="00A77B3E" w:rsidRDefault="00000000">
            <w:pPr>
              <w:spacing w:before="100"/>
              <w:rPr>
                <w:color w:val="000000"/>
                <w:sz w:val="20"/>
              </w:rPr>
            </w:pPr>
            <w:r>
              <w:rPr>
                <w:color w:val="000000"/>
                <w:sz w:val="20"/>
              </w:rPr>
              <w:t>LOAs per annum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7066FB" w14:textId="77777777" w:rsidR="00A77B3E" w:rsidRDefault="00000000">
            <w:pPr>
              <w:spacing w:before="100"/>
              <w:jc w:val="right"/>
              <w:rPr>
                <w:color w:val="000000"/>
                <w:sz w:val="20"/>
              </w:rPr>
            </w:pPr>
            <w:r>
              <w:rPr>
                <w:color w:val="000000"/>
                <w:sz w:val="20"/>
              </w:rPr>
              <w:t>133.00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2B7EE1"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AF5375" w14:textId="77777777" w:rsidR="00A77B3E" w:rsidRDefault="00000000">
            <w:pPr>
              <w:spacing w:before="100"/>
              <w:jc w:val="right"/>
              <w:rPr>
                <w:color w:val="000000"/>
                <w:sz w:val="20"/>
              </w:rPr>
            </w:pPr>
            <w:r>
              <w:rPr>
                <w:color w:val="000000"/>
                <w:sz w:val="20"/>
              </w:rPr>
              <w:t>157.00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21818E"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73D417" w14:textId="77777777" w:rsidR="00A77B3E" w:rsidRDefault="00A77B3E">
            <w:pPr>
              <w:spacing w:before="100"/>
              <w:rPr>
                <w:color w:val="000000"/>
                <w:sz w:val="20"/>
              </w:rPr>
            </w:pPr>
          </w:p>
        </w:tc>
      </w:tr>
      <w:tr w:rsidR="00B82D50" w14:paraId="41835D2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A9153B"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A0592A"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898D34"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AE1ED"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BA195D" w14:textId="77777777" w:rsidR="00A77B3E" w:rsidRDefault="00000000">
            <w:pPr>
              <w:spacing w:before="100"/>
              <w:rPr>
                <w:color w:val="000000"/>
                <w:sz w:val="20"/>
              </w:rPr>
            </w:pPr>
            <w:r>
              <w:rPr>
                <w:color w:val="000000"/>
                <w:sz w:val="20"/>
              </w:rPr>
              <w:t>PSR02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6BDD93" w14:textId="77777777" w:rsidR="00A77B3E" w:rsidRDefault="00000000">
            <w:pPr>
              <w:spacing w:before="100"/>
              <w:rPr>
                <w:color w:val="000000"/>
                <w:sz w:val="20"/>
              </w:rPr>
            </w:pPr>
            <w:r>
              <w:rPr>
                <w:color w:val="000000"/>
                <w:sz w:val="20"/>
              </w:rPr>
              <w:t>Number of spin-outs created dependent on IP from the HEI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20339D" w14:textId="77777777" w:rsidR="00A77B3E" w:rsidRDefault="00000000">
            <w:pPr>
              <w:spacing w:before="100"/>
              <w:rPr>
                <w:color w:val="000000"/>
                <w:sz w:val="20"/>
              </w:rPr>
            </w:pPr>
            <w:r>
              <w:rPr>
                <w:color w:val="000000"/>
                <w:sz w:val="20"/>
              </w:rPr>
              <w:t>spin-outs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68AE09" w14:textId="77777777" w:rsidR="00A77B3E" w:rsidRDefault="00000000">
            <w:pPr>
              <w:spacing w:before="100"/>
              <w:jc w:val="right"/>
              <w:rPr>
                <w:color w:val="000000"/>
                <w:sz w:val="20"/>
              </w:rPr>
            </w:pPr>
            <w:r>
              <w:rPr>
                <w:color w:val="000000"/>
                <w:sz w:val="20"/>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E931E4"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2BBF26" w14:textId="77777777" w:rsidR="00A77B3E" w:rsidRDefault="00000000">
            <w:pPr>
              <w:spacing w:before="100"/>
              <w:jc w:val="right"/>
              <w:rPr>
                <w:color w:val="000000"/>
                <w:sz w:val="20"/>
              </w:rPr>
            </w:pPr>
            <w:r>
              <w:rPr>
                <w:color w:val="000000"/>
                <w:sz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5102C4"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E3CEDA" w14:textId="77777777" w:rsidR="00A77B3E" w:rsidRDefault="00A77B3E">
            <w:pPr>
              <w:spacing w:before="100"/>
              <w:rPr>
                <w:color w:val="000000"/>
                <w:sz w:val="20"/>
              </w:rPr>
            </w:pPr>
          </w:p>
        </w:tc>
      </w:tr>
      <w:tr w:rsidR="00B82D50" w14:paraId="2726B6A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98B651"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9740E0"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A0D075"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69CE6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1F29B8" w14:textId="77777777" w:rsidR="00A77B3E" w:rsidRDefault="00000000">
            <w:pPr>
              <w:spacing w:before="100"/>
              <w:rPr>
                <w:color w:val="000000"/>
                <w:sz w:val="20"/>
              </w:rPr>
            </w:pPr>
            <w:r>
              <w:rPr>
                <w:color w:val="000000"/>
                <w:sz w:val="20"/>
              </w:rPr>
              <w:t>PSR03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0409A" w14:textId="77777777" w:rsidR="00A77B3E" w:rsidRDefault="00000000">
            <w:pPr>
              <w:spacing w:before="100"/>
              <w:rPr>
                <w:color w:val="000000"/>
                <w:sz w:val="20"/>
              </w:rPr>
            </w:pPr>
            <w:r>
              <w:rPr>
                <w:color w:val="000000"/>
                <w:sz w:val="20"/>
              </w:rPr>
              <w:t>Licensed 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0B15BB" w14:textId="77777777" w:rsidR="00A77B3E" w:rsidRDefault="00000000">
            <w:pPr>
              <w:spacing w:before="100"/>
              <w:rPr>
                <w:color w:val="000000"/>
                <w:sz w:val="20"/>
              </w:rPr>
            </w:pPr>
            <w:r>
              <w:rPr>
                <w:color w:val="000000"/>
                <w:sz w:val="20"/>
              </w:rPr>
              <w:t>intellectual property licenses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4D9335"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151DDD"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27774F" w14:textId="77777777" w:rsidR="00A77B3E" w:rsidRDefault="00000000">
            <w:pPr>
              <w:spacing w:before="100"/>
              <w:jc w:val="right"/>
              <w:rPr>
                <w:color w:val="000000"/>
                <w:sz w:val="20"/>
              </w:rPr>
            </w:pPr>
            <w:r>
              <w:rPr>
                <w:color w:val="000000"/>
                <w:sz w:val="20"/>
              </w:rPr>
              <w:t>18.00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18EB3E"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055F52" w14:textId="77777777" w:rsidR="00A77B3E" w:rsidRDefault="00A77B3E">
            <w:pPr>
              <w:spacing w:before="100"/>
              <w:rPr>
                <w:color w:val="000000"/>
                <w:sz w:val="20"/>
              </w:rPr>
            </w:pPr>
          </w:p>
        </w:tc>
      </w:tr>
      <w:tr w:rsidR="00B82D50" w14:paraId="70A339E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3A647D"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2DC2E3"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9A5022"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01281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6C621C" w14:textId="77777777" w:rsidR="00A77B3E" w:rsidRDefault="00000000">
            <w:pPr>
              <w:spacing w:before="100"/>
              <w:rPr>
                <w:color w:val="000000"/>
                <w:sz w:val="20"/>
              </w:rPr>
            </w:pPr>
            <w:r>
              <w:rPr>
                <w:color w:val="000000"/>
                <w:sz w:val="20"/>
              </w:rPr>
              <w:t>PSR04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FC9EF8" w14:textId="77777777" w:rsidR="00A77B3E" w:rsidRDefault="00000000">
            <w:pPr>
              <w:spacing w:before="100"/>
              <w:rPr>
                <w:color w:val="000000"/>
                <w:sz w:val="20"/>
              </w:rPr>
            </w:pPr>
            <w:r>
              <w:rPr>
                <w:color w:val="000000"/>
                <w:sz w:val="20"/>
              </w:rPr>
              <w:t>Assignments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6B5EEB" w14:textId="77777777" w:rsidR="00A77B3E" w:rsidRDefault="00000000">
            <w:pPr>
              <w:spacing w:before="100"/>
              <w:rPr>
                <w:color w:val="000000"/>
                <w:sz w:val="20"/>
              </w:rPr>
            </w:pPr>
            <w:r>
              <w:rPr>
                <w:color w:val="000000"/>
                <w:sz w:val="20"/>
              </w:rPr>
              <w:t>assignments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253A81"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425E99"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33F776" w14:textId="77777777" w:rsidR="00A77B3E" w:rsidRDefault="00000000">
            <w:pPr>
              <w:spacing w:before="100"/>
              <w:jc w:val="right"/>
              <w:rPr>
                <w:color w:val="000000"/>
                <w:sz w:val="20"/>
              </w:rPr>
            </w:pPr>
            <w:r>
              <w:rPr>
                <w:color w:val="000000"/>
                <w:sz w:val="20"/>
              </w:rPr>
              <w:t>4.00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A94895"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522005" w14:textId="77777777" w:rsidR="00A77B3E" w:rsidRDefault="00A77B3E">
            <w:pPr>
              <w:spacing w:before="100"/>
              <w:rPr>
                <w:color w:val="000000"/>
                <w:sz w:val="20"/>
              </w:rPr>
            </w:pPr>
          </w:p>
        </w:tc>
      </w:tr>
      <w:tr w:rsidR="00B82D50" w14:paraId="15F2E5F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F06A52"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2B8FBF"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3688ED"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2FAD3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14C48A" w14:textId="77777777" w:rsidR="00A77B3E" w:rsidRDefault="00000000">
            <w:pPr>
              <w:spacing w:before="100"/>
              <w:rPr>
                <w:color w:val="000000"/>
                <w:sz w:val="20"/>
              </w:rPr>
            </w:pPr>
            <w:r>
              <w:rPr>
                <w:color w:val="000000"/>
                <w:sz w:val="20"/>
              </w:rPr>
              <w:t>PSR06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C4A664" w14:textId="77777777" w:rsidR="00A77B3E" w:rsidRDefault="00000000">
            <w:pPr>
              <w:spacing w:before="100"/>
              <w:rPr>
                <w:color w:val="000000"/>
                <w:sz w:val="20"/>
              </w:rPr>
            </w:pPr>
            <w:r>
              <w:rPr>
                <w:color w:val="000000"/>
                <w:sz w:val="20"/>
              </w:rPr>
              <w:t>Number of HPSUs created as a result of the completed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03660" w14:textId="77777777" w:rsidR="00A77B3E" w:rsidRDefault="00000000">
            <w:pPr>
              <w:spacing w:before="100"/>
              <w:rPr>
                <w:color w:val="000000"/>
                <w:sz w:val="20"/>
              </w:rPr>
            </w:pPr>
            <w:r>
              <w:rPr>
                <w:color w:val="000000"/>
                <w:sz w:val="20"/>
              </w:rPr>
              <w:t>HPSUs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A2D7DE"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403511" w14:textId="77777777" w:rsidR="00A77B3E" w:rsidRDefault="00000000">
            <w:pPr>
              <w:spacing w:before="100"/>
              <w:jc w:val="center"/>
              <w:rPr>
                <w:color w:val="000000"/>
                <w:sz w:val="20"/>
              </w:rPr>
            </w:pPr>
            <w:r>
              <w:rPr>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40A9B6" w14:textId="77777777" w:rsidR="00A77B3E" w:rsidRDefault="00000000">
            <w:pPr>
              <w:spacing w:before="100"/>
              <w:jc w:val="right"/>
              <w:rPr>
                <w:color w:val="000000"/>
                <w:sz w:val="20"/>
              </w:rPr>
            </w:pPr>
            <w:r>
              <w:rPr>
                <w:color w:val="000000"/>
                <w:sz w:val="20"/>
              </w:rPr>
              <w:t>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BB9178" w14:textId="77777777" w:rsidR="00A77B3E" w:rsidRDefault="00000000">
            <w:pPr>
              <w:spacing w:before="100"/>
              <w:rPr>
                <w:color w:val="000000"/>
                <w:sz w:val="20"/>
              </w:rPr>
            </w:pPr>
            <w:r>
              <w:rPr>
                <w:color w:val="000000"/>
                <w:sz w:val="20"/>
              </w:rPr>
              <w:t>Supported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C88714" w14:textId="77777777" w:rsidR="00A77B3E" w:rsidRDefault="00A77B3E">
            <w:pPr>
              <w:spacing w:before="100"/>
              <w:rPr>
                <w:color w:val="000000"/>
                <w:sz w:val="20"/>
              </w:rPr>
            </w:pPr>
          </w:p>
        </w:tc>
      </w:tr>
    </w:tbl>
    <w:p w14:paraId="226D8E40" w14:textId="77777777" w:rsidR="00A77B3E" w:rsidRDefault="00A77B3E">
      <w:pPr>
        <w:spacing w:before="100"/>
        <w:rPr>
          <w:color w:val="000000"/>
          <w:sz w:val="20"/>
        </w:rPr>
      </w:pPr>
    </w:p>
    <w:p w14:paraId="5FF6EC57" w14:textId="77777777" w:rsidR="00A77B3E" w:rsidRDefault="00000000">
      <w:pPr>
        <w:pStyle w:val="Heading4"/>
        <w:spacing w:before="100" w:after="0"/>
        <w:rPr>
          <w:b w:val="0"/>
          <w:color w:val="000000"/>
          <w:sz w:val="24"/>
        </w:rPr>
      </w:pPr>
      <w:bookmarkStart w:id="16" w:name="_Toc256000173"/>
      <w:r>
        <w:rPr>
          <w:b w:val="0"/>
          <w:color w:val="000000"/>
          <w:sz w:val="24"/>
        </w:rPr>
        <w:t>2.1.1.1.3. Indicative breakdown of the programmed resources (EU) by type of intervention</w:t>
      </w:r>
      <w:bookmarkEnd w:id="16"/>
    </w:p>
    <w:p w14:paraId="1ED59D33" w14:textId="77777777" w:rsidR="00A77B3E" w:rsidRDefault="00A77B3E">
      <w:pPr>
        <w:spacing w:before="100"/>
        <w:rPr>
          <w:color w:val="000000"/>
          <w:sz w:val="0"/>
        </w:rPr>
      </w:pPr>
    </w:p>
    <w:p w14:paraId="03FC6DF8" w14:textId="77777777" w:rsidR="00A77B3E" w:rsidRDefault="00000000">
      <w:pPr>
        <w:spacing w:before="100"/>
        <w:rPr>
          <w:color w:val="000000"/>
          <w:sz w:val="0"/>
        </w:rPr>
      </w:pPr>
      <w:r>
        <w:rPr>
          <w:color w:val="000000"/>
        </w:rPr>
        <w:t>Reference: point (d)(viii) of Article 22(3) CPR</w:t>
      </w:r>
    </w:p>
    <w:p w14:paraId="06137EAA" w14:textId="77777777" w:rsidR="00A77B3E" w:rsidRDefault="00000000">
      <w:pPr>
        <w:pStyle w:val="Heading5"/>
        <w:spacing w:before="100" w:after="0"/>
        <w:rPr>
          <w:b w:val="0"/>
          <w:i w:val="0"/>
          <w:color w:val="000000"/>
          <w:sz w:val="24"/>
        </w:rPr>
      </w:pPr>
      <w:bookmarkStart w:id="17" w:name="_Toc256000174"/>
      <w:r>
        <w:rPr>
          <w:b w:val="0"/>
          <w:i w:val="0"/>
          <w:color w:val="000000"/>
          <w:sz w:val="24"/>
        </w:rPr>
        <w:t>Table 4: Dimension 1 - intervention field</w:t>
      </w:r>
      <w:bookmarkEnd w:id="17"/>
    </w:p>
    <w:p w14:paraId="34EF02B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263"/>
        <w:gridCol w:w="632"/>
        <w:gridCol w:w="1343"/>
        <w:gridCol w:w="9880"/>
        <w:gridCol w:w="1322"/>
      </w:tblGrid>
      <w:tr w:rsidR="00B82D50" w14:paraId="5DB8F0C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491BB3"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B8725A"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07B5C0"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D42C10"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AB4D2F"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BD0015" w14:textId="77777777" w:rsidR="00A77B3E" w:rsidRDefault="00000000">
            <w:pPr>
              <w:spacing w:before="100"/>
              <w:jc w:val="center"/>
              <w:rPr>
                <w:color w:val="000000"/>
                <w:sz w:val="20"/>
              </w:rPr>
            </w:pPr>
            <w:r>
              <w:rPr>
                <w:color w:val="000000"/>
                <w:sz w:val="20"/>
              </w:rPr>
              <w:t>Amount (EUR)</w:t>
            </w:r>
          </w:p>
        </w:tc>
      </w:tr>
      <w:tr w:rsidR="00B82D50" w14:paraId="1CF8851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FA099E"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4FA787"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DA9133"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01435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815D70" w14:textId="77777777" w:rsidR="00A77B3E" w:rsidRDefault="00000000">
            <w:pPr>
              <w:spacing w:before="100"/>
              <w:rPr>
                <w:color w:val="000000"/>
                <w:sz w:val="20"/>
              </w:rPr>
            </w:pPr>
            <w:r>
              <w:rPr>
                <w:color w:val="000000"/>
                <w:sz w:val="20"/>
              </w:rPr>
              <w:t>010. Research and innovation activities in SMEs, including networking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EA5CD7" w14:textId="77777777" w:rsidR="00A77B3E" w:rsidRDefault="00000000">
            <w:pPr>
              <w:spacing w:before="100"/>
              <w:jc w:val="right"/>
              <w:rPr>
                <w:color w:val="000000"/>
                <w:sz w:val="20"/>
              </w:rPr>
            </w:pPr>
            <w:r>
              <w:rPr>
                <w:color w:val="000000"/>
                <w:sz w:val="20"/>
              </w:rPr>
              <w:t>1,361,947.00</w:t>
            </w:r>
          </w:p>
        </w:tc>
      </w:tr>
      <w:tr w:rsidR="00B82D50" w14:paraId="7F015BF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15924E"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9A657F"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348496"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CF6B53"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551A29" w14:textId="77777777" w:rsidR="00A77B3E" w:rsidRDefault="00000000">
            <w:pPr>
              <w:spacing w:before="100"/>
              <w:rPr>
                <w:color w:val="000000"/>
                <w:sz w:val="20"/>
              </w:rPr>
            </w:pPr>
            <w:r>
              <w:rPr>
                <w:color w:val="000000"/>
                <w:sz w:val="20"/>
              </w:rPr>
              <w:t xml:space="preserve">012. Research and innovation activities in public research </w:t>
            </w:r>
            <w:proofErr w:type="spellStart"/>
            <w:r>
              <w:rPr>
                <w:color w:val="000000"/>
                <w:sz w:val="20"/>
              </w:rPr>
              <w:t>centres</w:t>
            </w:r>
            <w:proofErr w:type="spellEnd"/>
            <w:r>
              <w:rPr>
                <w:color w:val="000000"/>
                <w:sz w:val="20"/>
              </w:rPr>
              <w:t xml:space="preserve">, higher education and </w:t>
            </w:r>
            <w:proofErr w:type="spellStart"/>
            <w:r>
              <w:rPr>
                <w:color w:val="000000"/>
                <w:sz w:val="20"/>
              </w:rPr>
              <w:t>centres</w:t>
            </w:r>
            <w:proofErr w:type="spellEnd"/>
            <w:r>
              <w:rPr>
                <w:color w:val="000000"/>
                <w:sz w:val="20"/>
              </w:rPr>
              <w:t xml:space="preserve"> of competence including networking (industrial research, experimental development, feasibility studies)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D9438D" w14:textId="77777777" w:rsidR="00A77B3E" w:rsidRDefault="00000000">
            <w:pPr>
              <w:spacing w:before="100"/>
              <w:jc w:val="right"/>
              <w:rPr>
                <w:color w:val="000000"/>
                <w:sz w:val="20"/>
              </w:rPr>
            </w:pPr>
            <w:r>
              <w:rPr>
                <w:color w:val="000000"/>
                <w:sz w:val="20"/>
              </w:rPr>
              <w:t>71,937,247.00</w:t>
            </w:r>
          </w:p>
        </w:tc>
      </w:tr>
      <w:tr w:rsidR="00B82D50" w14:paraId="027419D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317069"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B26527"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DF707E"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EB7E31"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5517B6" w14:textId="77777777" w:rsidR="00A77B3E" w:rsidRDefault="00000000">
            <w:pPr>
              <w:spacing w:before="100"/>
              <w:rPr>
                <w:color w:val="000000"/>
                <w:sz w:val="20"/>
              </w:rPr>
            </w:pPr>
            <w:r>
              <w:rPr>
                <w:color w:val="000000"/>
                <w:sz w:val="20"/>
              </w:rPr>
              <w:t xml:space="preserve">028. Technology transfer and cooperation between enterprises, research </w:t>
            </w:r>
            <w:proofErr w:type="spellStart"/>
            <w:r>
              <w:rPr>
                <w:color w:val="000000"/>
                <w:sz w:val="20"/>
              </w:rPr>
              <w:t>centres</w:t>
            </w:r>
            <w:proofErr w:type="spellEnd"/>
            <w:r>
              <w:rPr>
                <w:color w:val="000000"/>
                <w:sz w:val="20"/>
              </w:rPr>
              <w:t xml:space="preserve"> and higher education sector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7B68E5" w14:textId="77777777" w:rsidR="00A77B3E" w:rsidRDefault="00000000">
            <w:pPr>
              <w:spacing w:before="100"/>
              <w:jc w:val="right"/>
              <w:rPr>
                <w:color w:val="000000"/>
                <w:sz w:val="20"/>
              </w:rPr>
            </w:pPr>
            <w:r>
              <w:rPr>
                <w:color w:val="000000"/>
                <w:sz w:val="20"/>
              </w:rPr>
              <w:t>16,890,000.00</w:t>
            </w:r>
          </w:p>
        </w:tc>
      </w:tr>
      <w:tr w:rsidR="00B82D50" w14:paraId="77BA221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1048AA"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C06963"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9804AF"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F88204"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A0C87E"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3858F8" w14:textId="77777777" w:rsidR="00A77B3E" w:rsidRDefault="00000000">
            <w:pPr>
              <w:spacing w:before="100"/>
              <w:jc w:val="right"/>
              <w:rPr>
                <w:color w:val="000000"/>
                <w:sz w:val="20"/>
              </w:rPr>
            </w:pPr>
            <w:r>
              <w:rPr>
                <w:color w:val="000000"/>
                <w:sz w:val="20"/>
              </w:rPr>
              <w:t>90,189,194.00</w:t>
            </w:r>
          </w:p>
        </w:tc>
      </w:tr>
    </w:tbl>
    <w:p w14:paraId="3AB9EFAB" w14:textId="77777777" w:rsidR="00A77B3E" w:rsidRDefault="00A77B3E">
      <w:pPr>
        <w:spacing w:before="100"/>
        <w:rPr>
          <w:color w:val="000000"/>
          <w:sz w:val="20"/>
        </w:rPr>
      </w:pPr>
    </w:p>
    <w:p w14:paraId="0A2C58F4" w14:textId="77777777" w:rsidR="00A77B3E" w:rsidRDefault="00000000">
      <w:pPr>
        <w:pStyle w:val="Heading5"/>
        <w:spacing w:before="100" w:after="0"/>
        <w:rPr>
          <w:b w:val="0"/>
          <w:i w:val="0"/>
          <w:color w:val="000000"/>
          <w:sz w:val="24"/>
        </w:rPr>
      </w:pPr>
      <w:bookmarkStart w:id="18" w:name="_Toc256000175"/>
      <w:r>
        <w:rPr>
          <w:b w:val="0"/>
          <w:i w:val="0"/>
          <w:color w:val="000000"/>
          <w:sz w:val="24"/>
        </w:rPr>
        <w:t>Table 5: Dimension 2 - form of financing</w:t>
      </w:r>
      <w:bookmarkEnd w:id="18"/>
    </w:p>
    <w:p w14:paraId="625D365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84"/>
        <w:gridCol w:w="1412"/>
        <w:gridCol w:w="3645"/>
        <w:gridCol w:w="1958"/>
        <w:gridCol w:w="3037"/>
      </w:tblGrid>
      <w:tr w:rsidR="00B82D50" w14:paraId="7A6C5AC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FAC688"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9F0CD9"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BCB894"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01ADC7"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7484FC"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1E7B49" w14:textId="77777777" w:rsidR="00A77B3E" w:rsidRDefault="00000000">
            <w:pPr>
              <w:spacing w:before="100"/>
              <w:jc w:val="center"/>
              <w:rPr>
                <w:color w:val="000000"/>
                <w:sz w:val="20"/>
              </w:rPr>
            </w:pPr>
            <w:r>
              <w:rPr>
                <w:color w:val="000000"/>
                <w:sz w:val="20"/>
              </w:rPr>
              <w:t>Amount (EUR)</w:t>
            </w:r>
          </w:p>
        </w:tc>
      </w:tr>
      <w:tr w:rsidR="00B82D50" w14:paraId="381A73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E3C4DC"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03FEDF"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55676A"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6CFC09"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0DDDC1" w14:textId="77777777" w:rsidR="00A77B3E" w:rsidRDefault="00000000">
            <w:pPr>
              <w:spacing w:before="100"/>
              <w:rPr>
                <w:color w:val="000000"/>
                <w:sz w:val="20"/>
              </w:rPr>
            </w:pPr>
            <w:r>
              <w:rPr>
                <w:color w:val="000000"/>
                <w:sz w:val="2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0111F4" w14:textId="77777777" w:rsidR="00A77B3E" w:rsidRDefault="00000000">
            <w:pPr>
              <w:spacing w:before="100"/>
              <w:jc w:val="right"/>
              <w:rPr>
                <w:color w:val="000000"/>
                <w:sz w:val="20"/>
              </w:rPr>
            </w:pPr>
            <w:r>
              <w:rPr>
                <w:color w:val="000000"/>
                <w:sz w:val="20"/>
              </w:rPr>
              <w:t>90,189,194.00</w:t>
            </w:r>
          </w:p>
        </w:tc>
      </w:tr>
      <w:tr w:rsidR="00B82D50" w14:paraId="64AAF3C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BFFA14"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E9AE7B"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D756AA"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247127"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15C440"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16B858" w14:textId="77777777" w:rsidR="00A77B3E" w:rsidRDefault="00000000">
            <w:pPr>
              <w:spacing w:before="100"/>
              <w:jc w:val="right"/>
              <w:rPr>
                <w:color w:val="000000"/>
                <w:sz w:val="20"/>
              </w:rPr>
            </w:pPr>
            <w:r>
              <w:rPr>
                <w:color w:val="000000"/>
                <w:sz w:val="20"/>
              </w:rPr>
              <w:t>90,189,194.00</w:t>
            </w:r>
          </w:p>
        </w:tc>
      </w:tr>
    </w:tbl>
    <w:p w14:paraId="0D5774D6" w14:textId="77777777" w:rsidR="00A77B3E" w:rsidRDefault="00A77B3E">
      <w:pPr>
        <w:spacing w:before="100"/>
        <w:rPr>
          <w:color w:val="000000"/>
          <w:sz w:val="20"/>
        </w:rPr>
      </w:pPr>
    </w:p>
    <w:p w14:paraId="6F29F128" w14:textId="77777777" w:rsidR="00A77B3E" w:rsidRDefault="00000000">
      <w:pPr>
        <w:pStyle w:val="Heading5"/>
        <w:spacing w:before="100" w:after="0"/>
        <w:rPr>
          <w:b w:val="0"/>
          <w:i w:val="0"/>
          <w:color w:val="000000"/>
          <w:sz w:val="24"/>
        </w:rPr>
      </w:pPr>
      <w:bookmarkStart w:id="19" w:name="_Toc256000176"/>
      <w:r>
        <w:rPr>
          <w:b w:val="0"/>
          <w:i w:val="0"/>
          <w:color w:val="000000"/>
          <w:sz w:val="24"/>
        </w:rPr>
        <w:t>Table 6: Dimension 3 – territorial delivery mechanism and territorial focus</w:t>
      </w:r>
      <w:bookmarkEnd w:id="19"/>
    </w:p>
    <w:p w14:paraId="37158D4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2422"/>
        <w:gridCol w:w="982"/>
        <w:gridCol w:w="2534"/>
        <w:gridCol w:w="5985"/>
        <w:gridCol w:w="2111"/>
      </w:tblGrid>
      <w:tr w:rsidR="00B82D50" w14:paraId="18AF914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DADA41"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F3BF2F"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FA6A87"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D5B202"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1ABF08"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1F7A9B" w14:textId="77777777" w:rsidR="00A77B3E" w:rsidRDefault="00000000">
            <w:pPr>
              <w:spacing w:before="100"/>
              <w:jc w:val="center"/>
              <w:rPr>
                <w:color w:val="000000"/>
                <w:sz w:val="20"/>
              </w:rPr>
            </w:pPr>
            <w:r>
              <w:rPr>
                <w:color w:val="000000"/>
                <w:sz w:val="20"/>
              </w:rPr>
              <w:t>Amount (EUR)</w:t>
            </w:r>
          </w:p>
        </w:tc>
      </w:tr>
      <w:tr w:rsidR="00B82D50" w14:paraId="08331C6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664710"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C0EF9A"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B4C907"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0E278"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4CCFAB" w14:textId="77777777" w:rsidR="00A77B3E" w:rsidRDefault="00000000">
            <w:pPr>
              <w:spacing w:before="100"/>
              <w:rPr>
                <w:color w:val="000000"/>
                <w:sz w:val="20"/>
              </w:rPr>
            </w:pPr>
            <w:r>
              <w:rPr>
                <w:color w:val="000000"/>
                <w:sz w:val="20"/>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C77DD5" w14:textId="77777777" w:rsidR="00A77B3E" w:rsidRDefault="00000000">
            <w:pPr>
              <w:spacing w:before="100"/>
              <w:jc w:val="right"/>
              <w:rPr>
                <w:color w:val="000000"/>
                <w:sz w:val="20"/>
              </w:rPr>
            </w:pPr>
            <w:r>
              <w:rPr>
                <w:color w:val="000000"/>
                <w:sz w:val="20"/>
              </w:rPr>
              <w:t>90,189,194.00</w:t>
            </w:r>
          </w:p>
        </w:tc>
      </w:tr>
      <w:tr w:rsidR="00B82D50" w14:paraId="1CD37C4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D4CACC"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74BCDE"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7E5270"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2D5898"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ACAB1D"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2D66F4" w14:textId="77777777" w:rsidR="00A77B3E" w:rsidRDefault="00000000">
            <w:pPr>
              <w:spacing w:before="100"/>
              <w:jc w:val="right"/>
              <w:rPr>
                <w:color w:val="000000"/>
                <w:sz w:val="20"/>
              </w:rPr>
            </w:pPr>
            <w:r>
              <w:rPr>
                <w:color w:val="000000"/>
                <w:sz w:val="20"/>
              </w:rPr>
              <w:t>90,189,194.00</w:t>
            </w:r>
          </w:p>
        </w:tc>
      </w:tr>
    </w:tbl>
    <w:p w14:paraId="785471C2" w14:textId="77777777" w:rsidR="00A77B3E" w:rsidRDefault="00A77B3E">
      <w:pPr>
        <w:spacing w:before="100"/>
        <w:rPr>
          <w:color w:val="000000"/>
          <w:sz w:val="20"/>
        </w:rPr>
      </w:pPr>
    </w:p>
    <w:p w14:paraId="5A9D0CDF" w14:textId="77777777" w:rsidR="00A77B3E" w:rsidRDefault="00000000">
      <w:pPr>
        <w:pStyle w:val="Heading5"/>
        <w:spacing w:before="100" w:after="0"/>
        <w:rPr>
          <w:b w:val="0"/>
          <w:i w:val="0"/>
          <w:color w:val="000000"/>
          <w:sz w:val="24"/>
        </w:rPr>
      </w:pPr>
      <w:bookmarkStart w:id="20" w:name="_Toc256000177"/>
      <w:r>
        <w:rPr>
          <w:b w:val="0"/>
          <w:i w:val="0"/>
          <w:color w:val="000000"/>
          <w:sz w:val="24"/>
        </w:rPr>
        <w:t>Table 7: Dimension 6 – ESF+ secondary themes</w:t>
      </w:r>
      <w:bookmarkEnd w:id="20"/>
    </w:p>
    <w:p w14:paraId="5603A85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21"/>
        <w:gridCol w:w="1270"/>
        <w:gridCol w:w="3893"/>
        <w:gridCol w:w="1296"/>
        <w:gridCol w:w="3244"/>
      </w:tblGrid>
      <w:tr w:rsidR="00B82D50" w14:paraId="1E459B7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5E0FEF"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96271A"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670422"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167793"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F6198C"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3ECCD9" w14:textId="77777777" w:rsidR="00A77B3E" w:rsidRDefault="00000000">
            <w:pPr>
              <w:spacing w:before="100"/>
              <w:jc w:val="center"/>
              <w:rPr>
                <w:color w:val="000000"/>
                <w:sz w:val="20"/>
              </w:rPr>
            </w:pPr>
            <w:r>
              <w:rPr>
                <w:color w:val="000000"/>
                <w:sz w:val="20"/>
              </w:rPr>
              <w:t>Amount (EUR)</w:t>
            </w:r>
          </w:p>
        </w:tc>
      </w:tr>
    </w:tbl>
    <w:p w14:paraId="6F6AF182" w14:textId="77777777" w:rsidR="00A77B3E" w:rsidRDefault="00A77B3E">
      <w:pPr>
        <w:spacing w:before="100"/>
        <w:rPr>
          <w:color w:val="000000"/>
          <w:sz w:val="20"/>
        </w:rPr>
      </w:pPr>
    </w:p>
    <w:p w14:paraId="74C00607" w14:textId="77777777" w:rsidR="00A77B3E" w:rsidRDefault="00000000">
      <w:pPr>
        <w:pStyle w:val="Heading5"/>
        <w:spacing w:before="100" w:after="0"/>
        <w:rPr>
          <w:b w:val="0"/>
          <w:i w:val="0"/>
          <w:color w:val="000000"/>
          <w:sz w:val="24"/>
        </w:rPr>
      </w:pPr>
      <w:bookmarkStart w:id="21" w:name="_Toc256000178"/>
      <w:r>
        <w:rPr>
          <w:b w:val="0"/>
          <w:i w:val="0"/>
          <w:color w:val="000000"/>
          <w:sz w:val="24"/>
        </w:rPr>
        <w:t>Table 8: Dimension 7 – ESF+*, ERDF, Cohesion Fund and JTF gender equality dimension</w:t>
      </w:r>
      <w:bookmarkEnd w:id="21"/>
    </w:p>
    <w:p w14:paraId="05B439D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2898"/>
        <w:gridCol w:w="1175"/>
        <w:gridCol w:w="3032"/>
        <w:gridCol w:w="4179"/>
        <w:gridCol w:w="2526"/>
      </w:tblGrid>
      <w:tr w:rsidR="00B82D50" w14:paraId="69F443E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1C04AF"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EC9906"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B740F0"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431526"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8F2419"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68D65B" w14:textId="77777777" w:rsidR="00A77B3E" w:rsidRDefault="00000000">
            <w:pPr>
              <w:spacing w:before="100"/>
              <w:jc w:val="center"/>
              <w:rPr>
                <w:color w:val="000000"/>
                <w:sz w:val="20"/>
              </w:rPr>
            </w:pPr>
            <w:r>
              <w:rPr>
                <w:color w:val="000000"/>
                <w:sz w:val="20"/>
              </w:rPr>
              <w:t>Amount (EUR)</w:t>
            </w:r>
          </w:p>
        </w:tc>
      </w:tr>
      <w:tr w:rsidR="00B82D50" w14:paraId="5FE01B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D4BC8"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B11C35"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941452"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DC330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9E77F3" w14:textId="77777777" w:rsidR="00A77B3E" w:rsidRDefault="00000000">
            <w:pPr>
              <w:spacing w:before="100"/>
              <w:rPr>
                <w:color w:val="000000"/>
                <w:sz w:val="20"/>
              </w:rPr>
            </w:pPr>
            <w:r>
              <w:rPr>
                <w:color w:val="000000"/>
                <w:sz w:val="20"/>
              </w:rPr>
              <w:t>02. Gender mainstreaming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6C680A" w14:textId="77777777" w:rsidR="00A77B3E" w:rsidRDefault="00000000">
            <w:pPr>
              <w:spacing w:before="100"/>
              <w:jc w:val="right"/>
              <w:rPr>
                <w:color w:val="000000"/>
                <w:sz w:val="20"/>
              </w:rPr>
            </w:pPr>
            <w:r>
              <w:rPr>
                <w:color w:val="000000"/>
                <w:sz w:val="20"/>
              </w:rPr>
              <w:t>90,189,194.00</w:t>
            </w:r>
          </w:p>
        </w:tc>
      </w:tr>
      <w:tr w:rsidR="00B82D50" w14:paraId="3F318C9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881B1B"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84A8BD" w14:textId="77777777" w:rsidR="00A77B3E" w:rsidRDefault="00000000">
            <w:pPr>
              <w:spacing w:before="100"/>
              <w:rPr>
                <w:color w:val="000000"/>
                <w:sz w:val="20"/>
              </w:rPr>
            </w:pPr>
            <w:r>
              <w:rPr>
                <w:color w:val="000000"/>
                <w:sz w:val="20"/>
              </w:rPr>
              <w:t>RSO1.1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4A0A8B"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832C98"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52A29A"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34D08E" w14:textId="77777777" w:rsidR="00A77B3E" w:rsidRDefault="00000000">
            <w:pPr>
              <w:spacing w:before="100"/>
              <w:jc w:val="right"/>
              <w:rPr>
                <w:color w:val="000000"/>
                <w:sz w:val="20"/>
              </w:rPr>
            </w:pPr>
            <w:r>
              <w:rPr>
                <w:color w:val="000000"/>
                <w:sz w:val="20"/>
              </w:rPr>
              <w:t>90,189,194.00</w:t>
            </w:r>
          </w:p>
        </w:tc>
      </w:tr>
    </w:tbl>
    <w:p w14:paraId="6AEA33E6" w14:textId="77777777" w:rsidR="00A77B3E" w:rsidRDefault="00000000">
      <w:pPr>
        <w:spacing w:before="100"/>
        <w:rPr>
          <w:color w:val="000000"/>
          <w:sz w:val="20"/>
        </w:rPr>
      </w:pPr>
      <w:r>
        <w:rPr>
          <w:color w:val="000000"/>
          <w:sz w:val="20"/>
        </w:rPr>
        <w:t>* In principle, 40 % for the ESF+ contributes to gender tracking. 100 % is applicable when Member State chooses to use Article 6 ESF+</w:t>
      </w:r>
    </w:p>
    <w:p w14:paraId="35D5E941" w14:textId="77777777" w:rsidR="00A77B3E" w:rsidRDefault="00000000">
      <w:pPr>
        <w:pStyle w:val="Heading4"/>
        <w:spacing w:before="100" w:after="0"/>
        <w:rPr>
          <w:b w:val="0"/>
          <w:color w:val="000000"/>
          <w:sz w:val="24"/>
        </w:rPr>
      </w:pPr>
      <w:r>
        <w:rPr>
          <w:b w:val="0"/>
          <w:color w:val="000000"/>
          <w:sz w:val="24"/>
        </w:rPr>
        <w:br w:type="page"/>
      </w:r>
      <w:bookmarkStart w:id="22" w:name="_Toc256000179"/>
      <w:r>
        <w:rPr>
          <w:b w:val="0"/>
          <w:color w:val="000000"/>
          <w:sz w:val="24"/>
        </w:rPr>
        <w:lastRenderedPageBreak/>
        <w:t>2.1.1.1. Specific objective: RSO1.3. Enhancing sustainable growth and competitiveness of SMEs and job creation in SMEs, including by productive investments (ERDF)</w:t>
      </w:r>
      <w:bookmarkEnd w:id="22"/>
    </w:p>
    <w:p w14:paraId="6A622F43" w14:textId="77777777" w:rsidR="00A77B3E" w:rsidRDefault="00A77B3E">
      <w:pPr>
        <w:spacing w:before="100"/>
        <w:rPr>
          <w:color w:val="000000"/>
          <w:sz w:val="0"/>
        </w:rPr>
      </w:pPr>
    </w:p>
    <w:p w14:paraId="53BC1693" w14:textId="77777777" w:rsidR="00A77B3E" w:rsidRDefault="00000000">
      <w:pPr>
        <w:pStyle w:val="Heading4"/>
        <w:spacing w:before="100" w:after="0"/>
        <w:rPr>
          <w:b w:val="0"/>
          <w:color w:val="000000"/>
          <w:sz w:val="24"/>
        </w:rPr>
      </w:pPr>
      <w:bookmarkStart w:id="23" w:name="_Toc256000180"/>
      <w:r>
        <w:rPr>
          <w:b w:val="0"/>
          <w:color w:val="000000"/>
          <w:sz w:val="24"/>
        </w:rPr>
        <w:t>2.1.1.1.1. Interventions of the Funds</w:t>
      </w:r>
      <w:bookmarkEnd w:id="23"/>
    </w:p>
    <w:p w14:paraId="71BADB31" w14:textId="77777777" w:rsidR="00A77B3E" w:rsidRDefault="00A77B3E">
      <w:pPr>
        <w:spacing w:before="100"/>
        <w:rPr>
          <w:color w:val="000000"/>
          <w:sz w:val="0"/>
        </w:rPr>
      </w:pPr>
    </w:p>
    <w:p w14:paraId="2877E62E" w14:textId="77777777" w:rsidR="00A77B3E" w:rsidRDefault="00000000">
      <w:pPr>
        <w:spacing w:before="100"/>
        <w:rPr>
          <w:color w:val="000000"/>
          <w:sz w:val="0"/>
        </w:rPr>
      </w:pPr>
      <w:r>
        <w:rPr>
          <w:color w:val="000000"/>
        </w:rPr>
        <w:t>Reference: points (d)(</w:t>
      </w:r>
      <w:proofErr w:type="spellStart"/>
      <w:r>
        <w:rPr>
          <w:color w:val="000000"/>
        </w:rPr>
        <w:t>i</w:t>
      </w:r>
      <w:proofErr w:type="spellEnd"/>
      <w:r>
        <w:rPr>
          <w:color w:val="000000"/>
        </w:rPr>
        <w:t>), (iii), (iv), (v), (vi) and (vii) of Article 22(3) CPR</w:t>
      </w:r>
    </w:p>
    <w:p w14:paraId="1AC64476" w14:textId="77777777" w:rsidR="00A77B3E" w:rsidRDefault="00000000">
      <w:pPr>
        <w:pStyle w:val="Heading5"/>
        <w:spacing w:before="100" w:after="0"/>
        <w:rPr>
          <w:b w:val="0"/>
          <w:i w:val="0"/>
          <w:color w:val="000000"/>
          <w:sz w:val="24"/>
        </w:rPr>
      </w:pPr>
      <w:bookmarkStart w:id="24" w:name="_Toc256000181"/>
      <w:r>
        <w:rPr>
          <w:b w:val="0"/>
          <w:i w:val="0"/>
          <w:color w:val="000000"/>
          <w:sz w:val="24"/>
        </w:rPr>
        <w:t>The related types of actions – point (d)(</w:t>
      </w:r>
      <w:proofErr w:type="spellStart"/>
      <w:r>
        <w:rPr>
          <w:b w:val="0"/>
          <w:i w:val="0"/>
          <w:color w:val="000000"/>
          <w:sz w:val="24"/>
        </w:rPr>
        <w:t>i</w:t>
      </w:r>
      <w:proofErr w:type="spellEnd"/>
      <w:r>
        <w:rPr>
          <w:b w:val="0"/>
          <w:i w:val="0"/>
          <w:color w:val="000000"/>
          <w:sz w:val="24"/>
        </w:rPr>
        <w:t>) of Article 22(3) CPR and Article 6 ESF+ Regulation:</w:t>
      </w:r>
      <w:bookmarkEnd w:id="24"/>
    </w:p>
    <w:p w14:paraId="433D1CD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172C59C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891464" w14:textId="77777777" w:rsidR="00A77B3E" w:rsidRDefault="00A77B3E">
            <w:pPr>
              <w:spacing w:before="100"/>
              <w:rPr>
                <w:color w:val="000000"/>
                <w:sz w:val="0"/>
              </w:rPr>
            </w:pPr>
          </w:p>
          <w:p w14:paraId="17E00C75" w14:textId="77777777" w:rsidR="00A77B3E" w:rsidRDefault="00000000">
            <w:pPr>
              <w:spacing w:before="100"/>
              <w:rPr>
                <w:color w:val="000000"/>
              </w:rPr>
            </w:pPr>
            <w:r>
              <w:rPr>
                <w:color w:val="000000"/>
              </w:rPr>
              <w:t xml:space="preserve">The following types of action will be taken under this priority to enhance sustainable growth and competitiveness of SMEs and job creation in SMEs, including by productive investment, in the regions and sub-regions of the </w:t>
            </w:r>
            <w:proofErr w:type="spellStart"/>
            <w:r>
              <w:rPr>
                <w:color w:val="000000"/>
              </w:rPr>
              <w:t>programme</w:t>
            </w:r>
            <w:proofErr w:type="spellEnd"/>
            <w:r>
              <w:rPr>
                <w:color w:val="000000"/>
              </w:rPr>
              <w:t xml:space="preserve"> area. Selection of operations will be tailored to regional needs and will support investments that are in line with the S3 strategy and the seven Regional Enterprise Plans within the </w:t>
            </w:r>
            <w:proofErr w:type="spellStart"/>
            <w:r>
              <w:rPr>
                <w:color w:val="000000"/>
              </w:rPr>
              <w:t>programme</w:t>
            </w:r>
            <w:proofErr w:type="spellEnd"/>
            <w:r>
              <w:rPr>
                <w:color w:val="000000"/>
              </w:rPr>
              <w:t xml:space="preserve"> area. These plans were developed in each region by a committee of key regional and national actors from Industry, Academia, Community and the Public Sector. Many of the actions proposed within these plans build on the existing regional strengths and on key industrial and academic infrastructure in each region. Where there is a clear need for new programmes or capital infrastructure to support the needs identified, the Programme aims to address these needs through the actions set out below and lay the foundation for delivery of results for future regional enterprise plans.</w:t>
            </w:r>
          </w:p>
          <w:p w14:paraId="094AACF7" w14:textId="77777777" w:rsidR="00A77B3E" w:rsidRDefault="00A77B3E">
            <w:pPr>
              <w:spacing w:before="100"/>
              <w:rPr>
                <w:color w:val="000000"/>
              </w:rPr>
            </w:pPr>
          </w:p>
          <w:p w14:paraId="10DA25A6" w14:textId="77777777" w:rsidR="00A77B3E" w:rsidRDefault="00000000">
            <w:pPr>
              <w:spacing w:before="100"/>
              <w:rPr>
                <w:color w:val="000000"/>
              </w:rPr>
            </w:pPr>
            <w:r>
              <w:rPr>
                <w:color w:val="000000"/>
              </w:rPr>
              <w:t xml:space="preserve">The Department of Enterprise, Trade and Employment (DETE), engaging closely with the Regional Assemblies and with Enterprise Ireland, will commission further independent analysis at NUTS II level to identify opportunities and deficiencies in the regional enterprise ecosystem. This will strengthen the evidence-base for the selection of operations and the optimal allocation of ERDF funding during </w:t>
            </w:r>
            <w:proofErr w:type="spellStart"/>
            <w:r>
              <w:rPr>
                <w:color w:val="000000"/>
              </w:rPr>
              <w:t>programme</w:t>
            </w:r>
            <w:proofErr w:type="spellEnd"/>
            <w:r>
              <w:rPr>
                <w:color w:val="000000"/>
              </w:rPr>
              <w:t xml:space="preserve"> implementation.</w:t>
            </w:r>
          </w:p>
          <w:p w14:paraId="1BE30156" w14:textId="77777777" w:rsidR="00A77B3E" w:rsidRDefault="00A77B3E">
            <w:pPr>
              <w:spacing w:before="100"/>
              <w:rPr>
                <w:color w:val="000000"/>
              </w:rPr>
            </w:pPr>
          </w:p>
          <w:p w14:paraId="6EB70446" w14:textId="77777777" w:rsidR="00A77B3E" w:rsidRDefault="00000000">
            <w:pPr>
              <w:spacing w:before="100"/>
              <w:rPr>
                <w:color w:val="000000"/>
              </w:rPr>
            </w:pPr>
            <w:r>
              <w:rPr>
                <w:rStyle w:val="Strong"/>
                <w:b w:val="0"/>
                <w:color w:val="000000"/>
              </w:rPr>
              <w:t>Strengthening and developing functional regional ecosystems that support innovation diffusion, enterprise innovation and entrepreneurship in the regions</w:t>
            </w:r>
          </w:p>
          <w:p w14:paraId="7E2BEEEE" w14:textId="77777777" w:rsidR="00A77B3E" w:rsidRDefault="00000000">
            <w:pPr>
              <w:spacing w:before="100"/>
              <w:rPr>
                <w:color w:val="000000"/>
              </w:rPr>
            </w:pPr>
            <w:r>
              <w:rPr>
                <w:color w:val="000000"/>
              </w:rPr>
              <w:t>Action RSO1.3.1: Provide appropriate infrastructure and key staff resources to deliver innovative solutions including support programmes to support entrepreneurship, start-ups and scaling companies. This will include:</w:t>
            </w:r>
          </w:p>
          <w:p w14:paraId="767A2A40" w14:textId="77777777" w:rsidR="00A77B3E" w:rsidRDefault="00A77B3E">
            <w:pPr>
              <w:numPr>
                <w:ilvl w:val="0"/>
                <w:numId w:val="3"/>
              </w:numPr>
              <w:spacing w:before="100"/>
              <w:rPr>
                <w:color w:val="000000"/>
              </w:rPr>
            </w:pPr>
          </w:p>
          <w:p w14:paraId="47B3DAF3" w14:textId="77777777" w:rsidR="00A77B3E" w:rsidRDefault="00000000">
            <w:pPr>
              <w:numPr>
                <w:ilvl w:val="1"/>
                <w:numId w:val="3"/>
              </w:numPr>
              <w:spacing w:before="100"/>
              <w:rPr>
                <w:color w:val="000000"/>
              </w:rPr>
            </w:pPr>
            <w:r>
              <w:rPr>
                <w:color w:val="000000"/>
              </w:rPr>
              <w:t>delivery of small to medium scale regional projects (with minimum or no building requirements) or expansion of existing regional ecosystem projects</w:t>
            </w:r>
          </w:p>
          <w:p w14:paraId="59E3864D" w14:textId="77777777" w:rsidR="00A77B3E" w:rsidRDefault="00000000">
            <w:pPr>
              <w:numPr>
                <w:ilvl w:val="1"/>
                <w:numId w:val="3"/>
              </w:numPr>
              <w:spacing w:before="100"/>
              <w:rPr>
                <w:color w:val="000000"/>
              </w:rPr>
            </w:pPr>
            <w:r>
              <w:rPr>
                <w:color w:val="000000"/>
              </w:rPr>
              <w:t>scoping and preparing new large-scale regional projects, e.g., design and planning, project development, recruitment of key managers</w:t>
            </w:r>
          </w:p>
          <w:p w14:paraId="08A412A4" w14:textId="77777777" w:rsidR="00A77B3E" w:rsidRDefault="00000000">
            <w:pPr>
              <w:numPr>
                <w:ilvl w:val="1"/>
                <w:numId w:val="3"/>
              </w:numPr>
              <w:spacing w:before="100"/>
              <w:rPr>
                <w:color w:val="000000"/>
              </w:rPr>
            </w:pPr>
            <w:r>
              <w:rPr>
                <w:color w:val="000000"/>
              </w:rPr>
              <w:t>delivery of large-scale regional capital investment projects that provide key strategic infrastructural solutions to support the regional ecosystem</w:t>
            </w:r>
          </w:p>
          <w:p w14:paraId="196BC8D0" w14:textId="77777777" w:rsidR="00A77B3E" w:rsidRDefault="00A77B3E">
            <w:pPr>
              <w:spacing w:before="100"/>
              <w:rPr>
                <w:color w:val="000000"/>
              </w:rPr>
            </w:pPr>
          </w:p>
          <w:p w14:paraId="5703A5FC" w14:textId="77777777" w:rsidR="00A77B3E" w:rsidRDefault="00000000">
            <w:pPr>
              <w:numPr>
                <w:ilvl w:val="0"/>
                <w:numId w:val="4"/>
              </w:numPr>
              <w:spacing w:before="100"/>
              <w:rPr>
                <w:color w:val="000000"/>
              </w:rPr>
            </w:pPr>
            <w:r>
              <w:rPr>
                <w:color w:val="000000"/>
              </w:rPr>
              <w:t>This action will be delivered through competitive calls with specific funding strands for small and medium sized projects and larger-scale capital projects. Regional strengthening projects will generally be small or medium sized, while strategic change projects will be large-scale in nature.</w:t>
            </w:r>
          </w:p>
          <w:p w14:paraId="420386E5" w14:textId="77777777" w:rsidR="00A77B3E" w:rsidRDefault="00000000">
            <w:pPr>
              <w:numPr>
                <w:ilvl w:val="0"/>
                <w:numId w:val="4"/>
              </w:numPr>
              <w:spacing w:before="100"/>
              <w:rPr>
                <w:color w:val="000000"/>
              </w:rPr>
            </w:pPr>
            <w:r>
              <w:rPr>
                <w:color w:val="000000"/>
              </w:rPr>
              <w:lastRenderedPageBreak/>
              <w:t>Small and medium sized projects will involve the delivery of small to medium scale regional strengthening activities with minimum or no building requirements or expansion of existing regional ecosystem projects. These projects will provide appropriate infrastructure and key staff resources to deliver innovative solutions including support programmes to provide impetus for entrepreneurship, start-ups and scaling companies. Projects of this scale will also be supported to carry out preparatory work for new large-scale regional projects, e.g., design and planning, project development, recruitment of key managers.</w:t>
            </w:r>
          </w:p>
          <w:p w14:paraId="1C5ACA92" w14:textId="77777777" w:rsidR="00A77B3E" w:rsidRDefault="00000000">
            <w:pPr>
              <w:numPr>
                <w:ilvl w:val="0"/>
                <w:numId w:val="4"/>
              </w:numPr>
              <w:spacing w:before="100"/>
              <w:rPr>
                <w:color w:val="000000"/>
              </w:rPr>
            </w:pPr>
            <w:r>
              <w:rPr>
                <w:color w:val="000000"/>
              </w:rPr>
              <w:t xml:space="preserve">Larger-scale capital projects will involve delivery of significant regionally based capital investment projects that provide key strategic infrastructural solutions to support the regional innovation ecosystem. The scope of such strategic change projects may be inter-regional and national exemplar facilities and </w:t>
            </w:r>
            <w:proofErr w:type="spellStart"/>
            <w:r>
              <w:rPr>
                <w:color w:val="000000"/>
              </w:rPr>
              <w:t>Centres</w:t>
            </w:r>
            <w:proofErr w:type="spellEnd"/>
            <w:r>
              <w:rPr>
                <w:color w:val="000000"/>
              </w:rPr>
              <w:t xml:space="preserve"> of Excellence based around and supported by regional industrial leaders. Such projects would provide additional incubation capacity and a physical base for collaborative industrial innovation projects, clustering, training and networking and should have national or potential international reach. Funding will support both capital investment (e.g., construction, refurbishment, fit-out) and non-capital investment (e.g., recruitment, staffing, consultancy, indirect costs, etc.).</w:t>
            </w:r>
          </w:p>
          <w:p w14:paraId="621A1289" w14:textId="77777777" w:rsidR="00A77B3E" w:rsidRDefault="00000000">
            <w:pPr>
              <w:numPr>
                <w:ilvl w:val="0"/>
                <w:numId w:val="4"/>
              </w:numPr>
              <w:spacing w:before="100"/>
              <w:rPr>
                <w:color w:val="000000"/>
              </w:rPr>
            </w:pPr>
            <w:r>
              <w:rPr>
                <w:color w:val="000000"/>
              </w:rPr>
              <w:t>This action will be targeted at strategic regional locations where an identifiable deficit exists in key infrastructure which is necessary to develop functional regional ecosystems which can support this client base. Competitive funding calls will include a strong requirement to demonstrate the need for the proposed capital intervention, at a regional and national level and aligned with S3 and the Regional Enterprise Plans. The specific evaluation criteria will require each case to demonstrate evidence of this need, along with evidence of widespread regional support and collaboration. Evidence of viability and durability of the proposed capital project, its innovation intensity and extent of incubator services proposed will also be evaluated in the selection process.</w:t>
            </w:r>
          </w:p>
          <w:p w14:paraId="1D460742" w14:textId="77777777" w:rsidR="00A77B3E" w:rsidRDefault="00000000">
            <w:pPr>
              <w:numPr>
                <w:ilvl w:val="0"/>
                <w:numId w:val="4"/>
              </w:numPr>
              <w:spacing w:before="100"/>
              <w:rPr>
                <w:color w:val="000000"/>
              </w:rPr>
            </w:pPr>
            <w:r>
              <w:rPr>
                <w:color w:val="000000"/>
              </w:rPr>
              <w:t>The degree of justification required for large scale strategic change projects may in itself require the support of consultants, architects, academics, etc. to validate the economic need for and the case for viability of the proposed capital project. To that end it is proposed to offer support for a scoping study to support substantial project development of such potential large-scale projects. This will assist the project team to prepare and justify the case for evaluation at a subsequent competitive call and support development of a pipeline of potential large-scale projects over the duration of the funding allocation.</w:t>
            </w:r>
          </w:p>
          <w:p w14:paraId="229141A0" w14:textId="77777777" w:rsidR="00A77B3E" w:rsidRDefault="00000000">
            <w:pPr>
              <w:numPr>
                <w:ilvl w:val="0"/>
                <w:numId w:val="4"/>
              </w:numPr>
              <w:spacing w:before="100"/>
              <w:rPr>
                <w:color w:val="000000"/>
              </w:rPr>
            </w:pPr>
            <w:r>
              <w:rPr>
                <w:color w:val="000000"/>
              </w:rPr>
              <w:t>Projects must be collaborative in nature, they must be innovative, viable and sustainable with metrics and KPI’s which provide additionality to the existing regional infrastructure.</w:t>
            </w:r>
          </w:p>
          <w:p w14:paraId="398F5803" w14:textId="77777777" w:rsidR="00A77B3E" w:rsidRDefault="00000000">
            <w:pPr>
              <w:numPr>
                <w:ilvl w:val="0"/>
                <w:numId w:val="4"/>
              </w:numPr>
              <w:spacing w:before="100"/>
              <w:rPr>
                <w:color w:val="000000"/>
              </w:rPr>
            </w:pPr>
            <w:r>
              <w:rPr>
                <w:color w:val="000000"/>
              </w:rPr>
              <w:t>Projects will complement the solutions provided by the existing regional providers including higher education institutions, state agencies and private sector entities at a regional level.</w:t>
            </w:r>
          </w:p>
          <w:p w14:paraId="4B305078" w14:textId="77777777" w:rsidR="00A77B3E" w:rsidRDefault="00A77B3E">
            <w:pPr>
              <w:spacing w:before="100"/>
              <w:rPr>
                <w:color w:val="000000"/>
              </w:rPr>
            </w:pPr>
          </w:p>
          <w:p w14:paraId="178BDC38" w14:textId="77777777" w:rsidR="00A77B3E" w:rsidRDefault="00000000">
            <w:pPr>
              <w:spacing w:before="100"/>
              <w:rPr>
                <w:color w:val="000000"/>
              </w:rPr>
            </w:pPr>
            <w:r>
              <w:rPr>
                <w:color w:val="000000"/>
              </w:rPr>
              <w:t>===================</w:t>
            </w:r>
          </w:p>
          <w:p w14:paraId="6B8C14E7" w14:textId="77777777" w:rsidR="00A77B3E" w:rsidRDefault="00A77B3E">
            <w:pPr>
              <w:spacing w:before="100"/>
              <w:rPr>
                <w:color w:val="000000"/>
              </w:rPr>
            </w:pPr>
          </w:p>
          <w:p w14:paraId="780AC379" w14:textId="77777777" w:rsidR="00A77B3E" w:rsidRDefault="00000000">
            <w:pPr>
              <w:spacing w:before="100"/>
              <w:rPr>
                <w:color w:val="000000"/>
              </w:rPr>
            </w:pPr>
            <w:r>
              <w:rPr>
                <w:rStyle w:val="Strong"/>
                <w:b w:val="0"/>
                <w:color w:val="000000"/>
              </w:rPr>
              <w:t>Strategic Procurement and Environmentally Sustainable Solutions</w:t>
            </w:r>
          </w:p>
          <w:p w14:paraId="4FF9E5FA" w14:textId="77777777" w:rsidR="00A77B3E" w:rsidRDefault="00000000">
            <w:pPr>
              <w:spacing w:before="100"/>
              <w:rPr>
                <w:color w:val="000000"/>
              </w:rPr>
            </w:pPr>
            <w:r>
              <w:rPr>
                <w:color w:val="000000"/>
              </w:rPr>
              <w:lastRenderedPageBreak/>
              <w:t xml:space="preserve">The Managing Authority will promote the strategic use of public procurement to support actions under this Specific Objective, including </w:t>
            </w:r>
            <w:proofErr w:type="spellStart"/>
            <w:r>
              <w:rPr>
                <w:color w:val="000000"/>
              </w:rPr>
              <w:t>professionalisation</w:t>
            </w:r>
            <w:proofErr w:type="spellEnd"/>
            <w:r>
              <w:rPr>
                <w:color w:val="000000"/>
              </w:rPr>
              <w:t xml:space="preserve"> efforts to address capacity gaps. Beneficiaries will be encouraged to use more quality-related and lifecycle cost criteria. When feasible, environmental (e.g., green public procurement criteria) and social considerations as well as innovation incentives will be incorporated into public procurement procedures.</w:t>
            </w:r>
          </w:p>
          <w:p w14:paraId="40F88CC0" w14:textId="77777777" w:rsidR="00A77B3E" w:rsidRDefault="00A77B3E">
            <w:pPr>
              <w:spacing w:before="100"/>
              <w:rPr>
                <w:color w:val="000000"/>
              </w:rPr>
            </w:pPr>
          </w:p>
          <w:p w14:paraId="1A3C6EEE" w14:textId="77777777" w:rsidR="00A77B3E" w:rsidRDefault="00000000">
            <w:pPr>
              <w:spacing w:before="100"/>
              <w:rPr>
                <w:color w:val="000000"/>
              </w:rPr>
            </w:pPr>
            <w:r>
              <w:rPr>
                <w:color w:val="000000"/>
              </w:rPr>
              <w:t>The selection of projects will be made based on criteria that take into account the most environmentally sustainable solutions. These criteria shall be adapted to the nature of the intervention and applied as widely as possible.</w:t>
            </w:r>
          </w:p>
          <w:p w14:paraId="1B785763" w14:textId="77777777" w:rsidR="00A77B3E" w:rsidRDefault="00A77B3E">
            <w:pPr>
              <w:spacing w:before="100"/>
              <w:rPr>
                <w:color w:val="000000"/>
              </w:rPr>
            </w:pPr>
          </w:p>
          <w:p w14:paraId="72BD29E8" w14:textId="77777777" w:rsidR="00A77B3E" w:rsidRDefault="00000000">
            <w:pPr>
              <w:spacing w:before="100"/>
              <w:rPr>
                <w:color w:val="000000"/>
              </w:rPr>
            </w:pPr>
            <w:r>
              <w:rPr>
                <w:rStyle w:val="Strong"/>
                <w:b w:val="0"/>
                <w:color w:val="000000"/>
              </w:rPr>
              <w:t>Do No Significant Harm (DNSH) Analysis</w:t>
            </w:r>
          </w:p>
          <w:p w14:paraId="5DFDAB48" w14:textId="77777777" w:rsidR="00A77B3E" w:rsidRDefault="00000000">
            <w:pPr>
              <w:spacing w:before="100"/>
              <w:rPr>
                <w:color w:val="000000"/>
              </w:rPr>
            </w:pPr>
            <w:r>
              <w:rPr>
                <w:color w:val="000000"/>
              </w:rPr>
              <w:t>A DNSH analysis has been carried out at the level of the types of actions defined above and it has been determined that these actions would do no significant harm to environmental objectives within the meaning of Article 17 of Regulation (EU) 2020/852 of the European Parliament and of the Council.</w:t>
            </w:r>
          </w:p>
          <w:p w14:paraId="67A0C8B0" w14:textId="77777777" w:rsidR="00A77B3E" w:rsidRDefault="00A77B3E">
            <w:pPr>
              <w:spacing w:before="100"/>
              <w:rPr>
                <w:color w:val="000000"/>
                <w:sz w:val="6"/>
              </w:rPr>
            </w:pPr>
          </w:p>
          <w:p w14:paraId="1E3FF87B" w14:textId="77777777" w:rsidR="00A77B3E" w:rsidRDefault="00A77B3E">
            <w:pPr>
              <w:spacing w:before="100"/>
              <w:rPr>
                <w:color w:val="000000"/>
                <w:sz w:val="6"/>
              </w:rPr>
            </w:pPr>
          </w:p>
        </w:tc>
      </w:tr>
    </w:tbl>
    <w:p w14:paraId="1B7D11FE" w14:textId="77777777" w:rsidR="00A77B3E" w:rsidRDefault="00A77B3E">
      <w:pPr>
        <w:spacing w:before="100"/>
        <w:rPr>
          <w:color w:val="000000"/>
        </w:rPr>
      </w:pPr>
    </w:p>
    <w:p w14:paraId="282809ED" w14:textId="77777777" w:rsidR="00A77B3E" w:rsidRDefault="00000000">
      <w:pPr>
        <w:pStyle w:val="Heading5"/>
        <w:spacing w:before="100" w:after="0"/>
        <w:rPr>
          <w:b w:val="0"/>
          <w:i w:val="0"/>
          <w:color w:val="000000"/>
          <w:sz w:val="24"/>
        </w:rPr>
      </w:pPr>
      <w:bookmarkStart w:id="25" w:name="_Toc256000182"/>
      <w:r>
        <w:rPr>
          <w:b w:val="0"/>
          <w:i w:val="0"/>
          <w:color w:val="000000"/>
          <w:sz w:val="24"/>
        </w:rPr>
        <w:t>The main target groups - point (d)(iii) of Article 22(3) CPR:</w:t>
      </w:r>
      <w:bookmarkEnd w:id="25"/>
    </w:p>
    <w:p w14:paraId="23119BF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63F01BA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994EE2" w14:textId="77777777" w:rsidR="00A77B3E" w:rsidRDefault="00A77B3E">
            <w:pPr>
              <w:spacing w:before="100"/>
              <w:rPr>
                <w:color w:val="000000"/>
                <w:sz w:val="0"/>
              </w:rPr>
            </w:pPr>
          </w:p>
          <w:p w14:paraId="1574337C" w14:textId="77777777" w:rsidR="00A77B3E" w:rsidRDefault="00000000">
            <w:pPr>
              <w:spacing w:before="100"/>
              <w:rPr>
                <w:color w:val="000000"/>
              </w:rPr>
            </w:pPr>
            <w:r>
              <w:rPr>
                <w:color w:val="000000"/>
              </w:rPr>
              <w:t>The main target beneficiaries for the actions under RSO1.3 are groups and clusters of SMEs that are involved in a collaborative proposal with other local and regional stakeholders, to build and improve regional innovation ecosystems. Funding of these clusters will typically be delivered through Designated Activity Companies (DACs) - not-for profit entities that are established to develop and deliver these collaborative proposals and projects.</w:t>
            </w:r>
          </w:p>
          <w:p w14:paraId="25E7C76F" w14:textId="77777777" w:rsidR="00A77B3E" w:rsidRDefault="00A77B3E">
            <w:pPr>
              <w:spacing w:before="100"/>
              <w:rPr>
                <w:color w:val="000000"/>
              </w:rPr>
            </w:pPr>
          </w:p>
          <w:p w14:paraId="47DAA752" w14:textId="77777777" w:rsidR="00A77B3E" w:rsidRDefault="00000000">
            <w:pPr>
              <w:spacing w:before="100"/>
              <w:rPr>
                <w:color w:val="000000"/>
              </w:rPr>
            </w:pPr>
            <w:r>
              <w:rPr>
                <w:color w:val="000000"/>
              </w:rPr>
              <w:t>The other local and regional stakeholders may include industry groups, community development groups and public bodies, such as Local Authorities, Higher Education Institutes and other agencies of the State.</w:t>
            </w:r>
          </w:p>
          <w:p w14:paraId="2A51BEE5" w14:textId="77777777" w:rsidR="00A77B3E" w:rsidRDefault="00A77B3E">
            <w:pPr>
              <w:spacing w:before="100"/>
              <w:rPr>
                <w:color w:val="000000"/>
              </w:rPr>
            </w:pPr>
          </w:p>
          <w:p w14:paraId="1D152352" w14:textId="77777777" w:rsidR="00A77B3E" w:rsidRDefault="00000000">
            <w:pPr>
              <w:spacing w:before="100"/>
              <w:rPr>
                <w:color w:val="000000"/>
              </w:rPr>
            </w:pPr>
            <w:r>
              <w:rPr>
                <w:color w:val="000000"/>
              </w:rPr>
              <w:t>The non-financial supports provided by the beneficiaries to enterprises in the regions will target small and medium enterprises, in particular start-ups and scaling companies.</w:t>
            </w:r>
          </w:p>
          <w:p w14:paraId="4EF8C93E" w14:textId="77777777" w:rsidR="00A77B3E" w:rsidRDefault="00A77B3E">
            <w:pPr>
              <w:spacing w:before="100"/>
              <w:rPr>
                <w:color w:val="000000"/>
                <w:sz w:val="6"/>
              </w:rPr>
            </w:pPr>
          </w:p>
          <w:p w14:paraId="394D422A" w14:textId="77777777" w:rsidR="00A77B3E" w:rsidRDefault="00A77B3E">
            <w:pPr>
              <w:spacing w:before="100"/>
              <w:rPr>
                <w:color w:val="000000"/>
                <w:sz w:val="6"/>
              </w:rPr>
            </w:pPr>
          </w:p>
        </w:tc>
      </w:tr>
    </w:tbl>
    <w:p w14:paraId="0D6199B5" w14:textId="77777777" w:rsidR="00A77B3E" w:rsidRDefault="00A77B3E">
      <w:pPr>
        <w:spacing w:before="100"/>
        <w:rPr>
          <w:color w:val="000000"/>
        </w:rPr>
      </w:pPr>
    </w:p>
    <w:p w14:paraId="74526588" w14:textId="77777777" w:rsidR="00A77B3E" w:rsidRDefault="00000000">
      <w:pPr>
        <w:pStyle w:val="Heading5"/>
        <w:spacing w:before="100" w:after="0"/>
        <w:rPr>
          <w:b w:val="0"/>
          <w:i w:val="0"/>
          <w:color w:val="000000"/>
          <w:sz w:val="24"/>
        </w:rPr>
      </w:pPr>
      <w:bookmarkStart w:id="26" w:name="_Toc256000183"/>
      <w:r>
        <w:rPr>
          <w:b w:val="0"/>
          <w:i w:val="0"/>
          <w:color w:val="000000"/>
          <w:sz w:val="24"/>
        </w:rPr>
        <w:t>Actions safeguarding equality, inclusion and non-discrimination – point (d)(iv) of Article 22(3) CPR and Article 6 ESF+ Regulation</w:t>
      </w:r>
      <w:bookmarkEnd w:id="26"/>
    </w:p>
    <w:p w14:paraId="180DF5C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658CCF2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9A0E48" w14:textId="77777777" w:rsidR="00A77B3E" w:rsidRDefault="00A77B3E">
            <w:pPr>
              <w:spacing w:before="100"/>
              <w:rPr>
                <w:color w:val="000000"/>
                <w:sz w:val="0"/>
              </w:rPr>
            </w:pPr>
          </w:p>
          <w:p w14:paraId="3322D532" w14:textId="77777777" w:rsidR="00A77B3E" w:rsidRDefault="00000000">
            <w:pPr>
              <w:spacing w:before="100"/>
              <w:rPr>
                <w:color w:val="000000"/>
              </w:rPr>
            </w:pPr>
            <w:r>
              <w:rPr>
                <w:color w:val="000000"/>
              </w:rPr>
              <w:t>Please refer to details already provided under 'Actions safeguarding equality, inclusion and non-discrimination – point (d)(iv) of Article 22(3) CPR and Article 6 ESF+ Regulation' under RSO1.1.</w:t>
            </w:r>
          </w:p>
          <w:p w14:paraId="5A59AE5D" w14:textId="77777777" w:rsidR="00A77B3E" w:rsidRDefault="00A77B3E">
            <w:pPr>
              <w:spacing w:before="100"/>
              <w:rPr>
                <w:color w:val="000000"/>
                <w:sz w:val="6"/>
              </w:rPr>
            </w:pPr>
          </w:p>
          <w:p w14:paraId="3D82FF66" w14:textId="77777777" w:rsidR="00A77B3E" w:rsidRDefault="00A77B3E">
            <w:pPr>
              <w:spacing w:before="100"/>
              <w:rPr>
                <w:color w:val="000000"/>
                <w:sz w:val="6"/>
              </w:rPr>
            </w:pPr>
          </w:p>
        </w:tc>
      </w:tr>
    </w:tbl>
    <w:p w14:paraId="65F523D3" w14:textId="77777777" w:rsidR="00A77B3E" w:rsidRDefault="00A77B3E">
      <w:pPr>
        <w:spacing w:before="100"/>
        <w:rPr>
          <w:color w:val="000000"/>
        </w:rPr>
      </w:pPr>
    </w:p>
    <w:p w14:paraId="086C491F" w14:textId="77777777" w:rsidR="00A77B3E" w:rsidRDefault="00000000">
      <w:pPr>
        <w:pStyle w:val="Heading5"/>
        <w:spacing w:before="100" w:after="0"/>
        <w:rPr>
          <w:b w:val="0"/>
          <w:i w:val="0"/>
          <w:color w:val="000000"/>
          <w:sz w:val="24"/>
        </w:rPr>
      </w:pPr>
      <w:bookmarkStart w:id="27" w:name="_Toc256000184"/>
      <w:r>
        <w:rPr>
          <w:b w:val="0"/>
          <w:i w:val="0"/>
          <w:color w:val="000000"/>
          <w:sz w:val="24"/>
        </w:rPr>
        <w:t>Indication of the specific territories targeted, including the planned use of territorial tools – point (d)(v) of Article 22(3) CPR</w:t>
      </w:r>
      <w:bookmarkEnd w:id="27"/>
    </w:p>
    <w:p w14:paraId="3D3DDA3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672BA03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E9536A" w14:textId="77777777" w:rsidR="00A77B3E" w:rsidRDefault="00A77B3E">
            <w:pPr>
              <w:spacing w:before="100"/>
              <w:rPr>
                <w:color w:val="000000"/>
                <w:sz w:val="0"/>
              </w:rPr>
            </w:pPr>
          </w:p>
          <w:p w14:paraId="7A31BE67" w14:textId="77777777" w:rsidR="00A77B3E" w:rsidRDefault="00000000">
            <w:pPr>
              <w:spacing w:before="100"/>
              <w:rPr>
                <w:color w:val="000000"/>
              </w:rPr>
            </w:pPr>
            <w:r>
              <w:rPr>
                <w:color w:val="000000"/>
              </w:rPr>
              <w:t xml:space="preserve">Supported actions will take place throughout the two NUT2 regions in the </w:t>
            </w:r>
            <w:proofErr w:type="spellStart"/>
            <w:r>
              <w:rPr>
                <w:color w:val="000000"/>
              </w:rPr>
              <w:t>programme</w:t>
            </w:r>
            <w:proofErr w:type="spellEnd"/>
            <w:r>
              <w:rPr>
                <w:color w:val="000000"/>
              </w:rPr>
              <w:t xml:space="preserve"> area. No territorial tools will be used under this specific objective. </w:t>
            </w:r>
          </w:p>
          <w:p w14:paraId="61627EC3" w14:textId="77777777" w:rsidR="00A77B3E" w:rsidRDefault="00A77B3E">
            <w:pPr>
              <w:spacing w:before="100"/>
              <w:rPr>
                <w:color w:val="000000"/>
                <w:sz w:val="6"/>
              </w:rPr>
            </w:pPr>
          </w:p>
          <w:p w14:paraId="1AA5D6BC" w14:textId="77777777" w:rsidR="00A77B3E" w:rsidRDefault="00A77B3E">
            <w:pPr>
              <w:spacing w:before="100"/>
              <w:rPr>
                <w:color w:val="000000"/>
                <w:sz w:val="6"/>
              </w:rPr>
            </w:pPr>
          </w:p>
        </w:tc>
      </w:tr>
    </w:tbl>
    <w:p w14:paraId="0FAF6256" w14:textId="77777777" w:rsidR="00A77B3E" w:rsidRDefault="00A77B3E">
      <w:pPr>
        <w:spacing w:before="100"/>
        <w:rPr>
          <w:color w:val="000000"/>
        </w:rPr>
      </w:pPr>
    </w:p>
    <w:p w14:paraId="565C41BA" w14:textId="77777777" w:rsidR="00A77B3E" w:rsidRDefault="00000000">
      <w:pPr>
        <w:pStyle w:val="Heading5"/>
        <w:spacing w:before="100" w:after="0"/>
        <w:rPr>
          <w:b w:val="0"/>
          <w:i w:val="0"/>
          <w:color w:val="000000"/>
          <w:sz w:val="24"/>
        </w:rPr>
      </w:pPr>
      <w:bookmarkStart w:id="28" w:name="_Toc256000185"/>
      <w:r>
        <w:rPr>
          <w:b w:val="0"/>
          <w:i w:val="0"/>
          <w:color w:val="000000"/>
          <w:sz w:val="24"/>
        </w:rPr>
        <w:t>The interregional, cross-border and transnational actions – point (d)(vi) of Article 22(3) CPR</w:t>
      </w:r>
      <w:bookmarkEnd w:id="28"/>
    </w:p>
    <w:p w14:paraId="2C52572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3AE172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E68A85" w14:textId="77777777" w:rsidR="00A77B3E" w:rsidRDefault="00A77B3E">
            <w:pPr>
              <w:spacing w:before="100"/>
              <w:rPr>
                <w:color w:val="000000"/>
                <w:sz w:val="0"/>
              </w:rPr>
            </w:pPr>
          </w:p>
          <w:p w14:paraId="405D0D39" w14:textId="77777777" w:rsidR="00A77B3E" w:rsidRDefault="00000000">
            <w:pPr>
              <w:spacing w:before="100"/>
              <w:rPr>
                <w:color w:val="000000"/>
              </w:rPr>
            </w:pPr>
            <w:r>
              <w:rPr>
                <w:color w:val="000000"/>
              </w:rPr>
              <w:t xml:space="preserve">Action RSO1.3.1 will see regionally based SME businesses working collaboratively with other partners to embrace </w:t>
            </w:r>
            <w:proofErr w:type="spellStart"/>
            <w:r>
              <w:rPr>
                <w:color w:val="000000"/>
              </w:rPr>
              <w:t>digitisation</w:t>
            </w:r>
            <w:proofErr w:type="spellEnd"/>
            <w:r>
              <w:rPr>
                <w:color w:val="000000"/>
              </w:rPr>
              <w:t xml:space="preserve">, green economy opportunities, and relevant technological advances. In doing so, it will improve their competitiveness and potential for growth and </w:t>
            </w:r>
            <w:proofErr w:type="spellStart"/>
            <w:r>
              <w:rPr>
                <w:color w:val="000000"/>
              </w:rPr>
              <w:t>internationalisation</w:t>
            </w:r>
            <w:proofErr w:type="spellEnd"/>
            <w:r>
              <w:rPr>
                <w:color w:val="000000"/>
              </w:rPr>
              <w:t xml:space="preserve">. Action RSO1.3.1 supports the identification of regional sectoral strengths, capabilities and opportunities through the Regional Enterprise Plans and will provide an important platform for future cluster development initiatives. These clusters can </w:t>
            </w:r>
            <w:proofErr w:type="spellStart"/>
            <w:r>
              <w:rPr>
                <w:color w:val="000000"/>
              </w:rPr>
              <w:t>maximise</w:t>
            </w:r>
            <w:proofErr w:type="spellEnd"/>
            <w:r>
              <w:rPr>
                <w:color w:val="000000"/>
              </w:rPr>
              <w:t xml:space="preserve"> the development of international business linkages at EU level and beyond, on a cluster-to-cluster basis including through EU Strategic Value Chains and associated Important Projects of Common European Interest (IPCEI) and through the development of all-island and cross-border clusters.</w:t>
            </w:r>
          </w:p>
          <w:p w14:paraId="4CD115C1" w14:textId="77777777" w:rsidR="00A77B3E" w:rsidRDefault="00A77B3E">
            <w:pPr>
              <w:spacing w:before="100"/>
              <w:rPr>
                <w:color w:val="000000"/>
                <w:sz w:val="6"/>
              </w:rPr>
            </w:pPr>
          </w:p>
          <w:p w14:paraId="0C3C62FC" w14:textId="77777777" w:rsidR="00A77B3E" w:rsidRDefault="00A77B3E">
            <w:pPr>
              <w:spacing w:before="100"/>
              <w:rPr>
                <w:color w:val="000000"/>
                <w:sz w:val="6"/>
              </w:rPr>
            </w:pPr>
          </w:p>
        </w:tc>
      </w:tr>
    </w:tbl>
    <w:p w14:paraId="48BB9A3F" w14:textId="77777777" w:rsidR="00A77B3E" w:rsidRDefault="00A77B3E">
      <w:pPr>
        <w:spacing w:before="100"/>
        <w:rPr>
          <w:color w:val="000000"/>
        </w:rPr>
      </w:pPr>
    </w:p>
    <w:p w14:paraId="6019439E" w14:textId="77777777" w:rsidR="00A77B3E" w:rsidRDefault="00000000">
      <w:pPr>
        <w:pStyle w:val="Heading5"/>
        <w:spacing w:before="100" w:after="0"/>
        <w:rPr>
          <w:b w:val="0"/>
          <w:i w:val="0"/>
          <w:color w:val="000000"/>
          <w:sz w:val="24"/>
        </w:rPr>
      </w:pPr>
      <w:bookmarkStart w:id="29" w:name="_Toc256000186"/>
      <w:r>
        <w:rPr>
          <w:b w:val="0"/>
          <w:i w:val="0"/>
          <w:color w:val="000000"/>
          <w:sz w:val="24"/>
        </w:rPr>
        <w:t>The planned use of financial instruments – point (d)(vii) of Article 22(3) CPR</w:t>
      </w:r>
      <w:bookmarkEnd w:id="29"/>
    </w:p>
    <w:p w14:paraId="4443F15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2661CA9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8E9ADA" w14:textId="77777777" w:rsidR="00A77B3E" w:rsidRDefault="00A77B3E">
            <w:pPr>
              <w:spacing w:before="100"/>
              <w:rPr>
                <w:color w:val="000000"/>
                <w:sz w:val="0"/>
              </w:rPr>
            </w:pPr>
          </w:p>
          <w:p w14:paraId="62D78DE3" w14:textId="77777777" w:rsidR="00A77B3E" w:rsidRDefault="00000000">
            <w:pPr>
              <w:spacing w:before="100"/>
              <w:rPr>
                <w:color w:val="000000"/>
              </w:rPr>
            </w:pPr>
            <w:r>
              <w:rPr>
                <w:color w:val="000000"/>
              </w:rPr>
              <w:t>The selected form of support for all actions under PO1 is grants as none of the supported actions are expected to generate a return during their lifetime. The use of financial instruments would therefore not be feasible as a form of support and would not be attractive to potential beneficiaries.</w:t>
            </w:r>
          </w:p>
          <w:p w14:paraId="026B1E80" w14:textId="77777777" w:rsidR="00A77B3E" w:rsidRDefault="00A77B3E">
            <w:pPr>
              <w:spacing w:before="100"/>
              <w:rPr>
                <w:color w:val="000000"/>
              </w:rPr>
            </w:pPr>
          </w:p>
          <w:p w14:paraId="627DD097" w14:textId="77777777" w:rsidR="00A77B3E" w:rsidRDefault="00A77B3E">
            <w:pPr>
              <w:spacing w:before="100"/>
              <w:rPr>
                <w:color w:val="000000"/>
                <w:sz w:val="6"/>
              </w:rPr>
            </w:pPr>
          </w:p>
          <w:p w14:paraId="0FB824A0" w14:textId="77777777" w:rsidR="00A77B3E" w:rsidRDefault="00A77B3E">
            <w:pPr>
              <w:spacing w:before="100"/>
              <w:rPr>
                <w:color w:val="000000"/>
                <w:sz w:val="6"/>
              </w:rPr>
            </w:pPr>
          </w:p>
        </w:tc>
      </w:tr>
    </w:tbl>
    <w:p w14:paraId="10A5F31A" w14:textId="77777777" w:rsidR="00A77B3E" w:rsidRDefault="00A77B3E">
      <w:pPr>
        <w:spacing w:before="100"/>
        <w:rPr>
          <w:color w:val="000000"/>
        </w:rPr>
      </w:pPr>
    </w:p>
    <w:p w14:paraId="496BE3AB" w14:textId="77777777" w:rsidR="00A77B3E" w:rsidRDefault="00000000">
      <w:pPr>
        <w:pStyle w:val="Heading4"/>
        <w:spacing w:before="100" w:after="0"/>
        <w:rPr>
          <w:b w:val="0"/>
          <w:color w:val="000000"/>
          <w:sz w:val="24"/>
        </w:rPr>
      </w:pPr>
      <w:bookmarkStart w:id="30" w:name="_Toc256000187"/>
      <w:r>
        <w:rPr>
          <w:b w:val="0"/>
          <w:color w:val="000000"/>
          <w:sz w:val="24"/>
        </w:rPr>
        <w:t>2.1.1.1.2. Indicators</w:t>
      </w:r>
      <w:bookmarkEnd w:id="30"/>
    </w:p>
    <w:p w14:paraId="4B09EBF1" w14:textId="77777777" w:rsidR="00A77B3E" w:rsidRDefault="00A77B3E">
      <w:pPr>
        <w:spacing w:before="100"/>
        <w:rPr>
          <w:color w:val="000000"/>
          <w:sz w:val="0"/>
        </w:rPr>
      </w:pPr>
    </w:p>
    <w:p w14:paraId="56AD47B4" w14:textId="77777777" w:rsidR="00A77B3E" w:rsidRDefault="00000000">
      <w:pPr>
        <w:spacing w:before="100"/>
        <w:rPr>
          <w:color w:val="000000"/>
          <w:sz w:val="0"/>
        </w:rPr>
      </w:pPr>
      <w:r>
        <w:rPr>
          <w:color w:val="000000"/>
        </w:rPr>
        <w:t>Reference: point (d)(ii) of Article 22(3) CPR and Article 8 ERDF and CF Regulation</w:t>
      </w:r>
    </w:p>
    <w:p w14:paraId="50A4A559" w14:textId="77777777" w:rsidR="00A77B3E" w:rsidRDefault="00000000">
      <w:pPr>
        <w:pStyle w:val="Heading5"/>
        <w:spacing w:before="100" w:after="0"/>
        <w:rPr>
          <w:b w:val="0"/>
          <w:i w:val="0"/>
          <w:color w:val="000000"/>
          <w:sz w:val="24"/>
        </w:rPr>
      </w:pPr>
      <w:bookmarkStart w:id="31" w:name="_Toc256000188"/>
      <w:r>
        <w:rPr>
          <w:b w:val="0"/>
          <w:i w:val="0"/>
          <w:color w:val="000000"/>
          <w:sz w:val="24"/>
        </w:rPr>
        <w:t>Table 2: Output indicators</w:t>
      </w:r>
      <w:bookmarkEnd w:id="31"/>
    </w:p>
    <w:p w14:paraId="576822D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1610"/>
        <w:gridCol w:w="653"/>
        <w:gridCol w:w="1684"/>
        <w:gridCol w:w="756"/>
        <w:gridCol w:w="5274"/>
        <w:gridCol w:w="1621"/>
        <w:gridCol w:w="1553"/>
        <w:gridCol w:w="1266"/>
      </w:tblGrid>
      <w:tr w:rsidR="00B82D50" w14:paraId="0888D05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0CA3CF"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F52E03"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F325EC"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0299E3"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D67A6C"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235CBA"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A8F6BB"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0E2F63" w14:textId="77777777" w:rsidR="00A77B3E" w:rsidRDefault="00000000">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3CBF6E" w14:textId="77777777" w:rsidR="00A77B3E" w:rsidRDefault="00000000">
            <w:pPr>
              <w:spacing w:before="100"/>
              <w:jc w:val="center"/>
              <w:rPr>
                <w:color w:val="000000"/>
                <w:sz w:val="20"/>
              </w:rPr>
            </w:pPr>
            <w:r>
              <w:rPr>
                <w:color w:val="000000"/>
                <w:sz w:val="20"/>
              </w:rPr>
              <w:t>Target (2029)</w:t>
            </w:r>
          </w:p>
        </w:tc>
      </w:tr>
      <w:tr w:rsidR="00B82D50" w14:paraId="28517DB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ACF99D"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F0C05F"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10C92A"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02232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0A7EC8" w14:textId="77777777" w:rsidR="00A77B3E" w:rsidRDefault="00000000">
            <w:pPr>
              <w:spacing w:before="100"/>
              <w:rPr>
                <w:color w:val="000000"/>
                <w:sz w:val="20"/>
              </w:rPr>
            </w:pPr>
            <w:r>
              <w:rPr>
                <w:color w:val="000000"/>
                <w:sz w:val="20"/>
              </w:rPr>
              <w:t>RCO01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AE97BF" w14:textId="77777777" w:rsidR="00A77B3E" w:rsidRDefault="00000000">
            <w:pPr>
              <w:spacing w:before="100"/>
              <w:rPr>
                <w:color w:val="000000"/>
                <w:sz w:val="20"/>
              </w:rPr>
            </w:pPr>
            <w:r>
              <w:rPr>
                <w:color w:val="000000"/>
                <w:sz w:val="20"/>
              </w:rPr>
              <w:t>Enterprises supported (of which: micro, small, medium, large)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00531B"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80E8AE" w14:textId="77777777" w:rsidR="00A77B3E" w:rsidRDefault="00000000">
            <w:pPr>
              <w:spacing w:before="100"/>
              <w:jc w:val="right"/>
              <w:rPr>
                <w:color w:val="000000"/>
                <w:sz w:val="20"/>
              </w:rPr>
            </w:pPr>
            <w:r>
              <w:rPr>
                <w:color w:val="000000"/>
                <w:sz w:val="20"/>
              </w:rPr>
              <w:t>288.00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6B4C0D" w14:textId="77777777" w:rsidR="00A77B3E" w:rsidRDefault="00000000">
            <w:pPr>
              <w:spacing w:before="100"/>
              <w:jc w:val="right"/>
              <w:rPr>
                <w:color w:val="000000"/>
                <w:sz w:val="20"/>
              </w:rPr>
            </w:pPr>
            <w:r>
              <w:rPr>
                <w:color w:val="000000"/>
                <w:sz w:val="20"/>
              </w:rPr>
              <w:t>660.00</w:t>
            </w:r>
          </w:p>
        </w:tc>
      </w:tr>
      <w:tr w:rsidR="00B82D50" w14:paraId="6057E9A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4FC983"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F29B1A"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351F98"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09DA5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0935EF" w14:textId="77777777" w:rsidR="00A77B3E" w:rsidRDefault="00000000">
            <w:pPr>
              <w:spacing w:before="100"/>
              <w:rPr>
                <w:color w:val="000000"/>
                <w:sz w:val="20"/>
              </w:rPr>
            </w:pPr>
            <w:r>
              <w:rPr>
                <w:color w:val="000000"/>
                <w:sz w:val="20"/>
              </w:rPr>
              <w:t>RCO04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66E9DD" w14:textId="77777777" w:rsidR="00A77B3E" w:rsidRDefault="00000000">
            <w:pPr>
              <w:spacing w:before="100"/>
              <w:rPr>
                <w:color w:val="000000"/>
                <w:sz w:val="20"/>
              </w:rPr>
            </w:pPr>
            <w:r>
              <w:rPr>
                <w:color w:val="000000"/>
                <w:sz w:val="20"/>
              </w:rPr>
              <w:t>Enterprises with non-financial support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26AD88"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DC29FA" w14:textId="77777777" w:rsidR="00A77B3E" w:rsidRDefault="00000000">
            <w:pPr>
              <w:spacing w:before="100"/>
              <w:jc w:val="right"/>
              <w:rPr>
                <w:color w:val="000000"/>
                <w:sz w:val="20"/>
              </w:rPr>
            </w:pPr>
            <w:r>
              <w:rPr>
                <w:color w:val="000000"/>
                <w:sz w:val="20"/>
              </w:rPr>
              <w:t>288.00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43210E" w14:textId="77777777" w:rsidR="00A77B3E" w:rsidRDefault="00000000">
            <w:pPr>
              <w:spacing w:before="100"/>
              <w:jc w:val="right"/>
              <w:rPr>
                <w:color w:val="000000"/>
                <w:sz w:val="20"/>
              </w:rPr>
            </w:pPr>
            <w:r>
              <w:rPr>
                <w:color w:val="000000"/>
                <w:sz w:val="20"/>
              </w:rPr>
              <w:t>660.00</w:t>
            </w:r>
          </w:p>
        </w:tc>
      </w:tr>
      <w:tr w:rsidR="00B82D50" w14:paraId="5C51758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AAB3A2" w14:textId="77777777" w:rsidR="00A77B3E" w:rsidRDefault="00000000">
            <w:pPr>
              <w:spacing w:before="100"/>
              <w:rPr>
                <w:color w:val="000000"/>
                <w:sz w:val="20"/>
              </w:rPr>
            </w:pPr>
            <w:r>
              <w:rPr>
                <w:color w:val="000000"/>
                <w:sz w:val="20"/>
              </w:rPr>
              <w:lastRenderedPageBreak/>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A2824"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A2C233"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0DF31"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7F2B47" w14:textId="77777777" w:rsidR="00A77B3E" w:rsidRDefault="00000000">
            <w:pPr>
              <w:spacing w:before="100"/>
              <w:rPr>
                <w:color w:val="000000"/>
                <w:sz w:val="20"/>
              </w:rPr>
            </w:pPr>
            <w:r>
              <w:rPr>
                <w:color w:val="000000"/>
                <w:sz w:val="20"/>
              </w:rPr>
              <w:t>RCO05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ABF96B" w14:textId="77777777" w:rsidR="00A77B3E" w:rsidRDefault="00000000">
            <w:pPr>
              <w:spacing w:before="100"/>
              <w:rPr>
                <w:color w:val="000000"/>
                <w:sz w:val="20"/>
              </w:rPr>
            </w:pPr>
            <w:r>
              <w:rPr>
                <w:color w:val="000000"/>
                <w:sz w:val="20"/>
              </w:rPr>
              <w:t>New enterprises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8C414F"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B23975" w14:textId="77777777" w:rsidR="00A77B3E" w:rsidRDefault="00000000">
            <w:pPr>
              <w:spacing w:before="100"/>
              <w:jc w:val="right"/>
              <w:rPr>
                <w:color w:val="000000"/>
                <w:sz w:val="20"/>
              </w:rPr>
            </w:pPr>
            <w:r>
              <w:rPr>
                <w:color w:val="000000"/>
                <w:sz w:val="20"/>
              </w:rPr>
              <w:t>72.00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531B77" w14:textId="77777777" w:rsidR="00A77B3E" w:rsidRDefault="00000000">
            <w:pPr>
              <w:spacing w:before="100"/>
              <w:jc w:val="right"/>
              <w:rPr>
                <w:color w:val="000000"/>
                <w:sz w:val="20"/>
              </w:rPr>
            </w:pPr>
            <w:r>
              <w:rPr>
                <w:color w:val="000000"/>
                <w:sz w:val="20"/>
              </w:rPr>
              <w:t>165.00</w:t>
            </w:r>
          </w:p>
        </w:tc>
      </w:tr>
      <w:tr w:rsidR="00B82D50" w14:paraId="351A474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1698F4"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F6AB79"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1D0AD7"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359154"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151856" w14:textId="77777777" w:rsidR="00A77B3E" w:rsidRDefault="00000000">
            <w:pPr>
              <w:spacing w:before="100"/>
              <w:rPr>
                <w:color w:val="000000"/>
                <w:sz w:val="20"/>
              </w:rPr>
            </w:pPr>
            <w:r>
              <w:rPr>
                <w:color w:val="000000"/>
                <w:sz w:val="20"/>
              </w:rPr>
              <w:t>RCO15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536665" w14:textId="77777777" w:rsidR="00A77B3E" w:rsidRDefault="00000000">
            <w:pPr>
              <w:spacing w:before="100"/>
              <w:rPr>
                <w:color w:val="000000"/>
                <w:sz w:val="20"/>
              </w:rPr>
            </w:pPr>
            <w:r>
              <w:rPr>
                <w:color w:val="000000"/>
                <w:sz w:val="20"/>
              </w:rPr>
              <w:t>Capacity of incubation created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8C11A7"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8DE8F1" w14:textId="77777777" w:rsidR="00A77B3E" w:rsidRDefault="00000000">
            <w:pPr>
              <w:spacing w:before="100"/>
              <w:jc w:val="right"/>
              <w:rPr>
                <w:color w:val="000000"/>
                <w:sz w:val="20"/>
              </w:rPr>
            </w:pPr>
            <w:r>
              <w:rPr>
                <w:color w:val="000000"/>
                <w:sz w:val="20"/>
              </w:rPr>
              <w:t>40.00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2E4503" w14:textId="77777777" w:rsidR="00A77B3E" w:rsidRDefault="00000000">
            <w:pPr>
              <w:spacing w:before="100"/>
              <w:jc w:val="right"/>
              <w:rPr>
                <w:color w:val="000000"/>
                <w:sz w:val="20"/>
              </w:rPr>
            </w:pPr>
            <w:r>
              <w:rPr>
                <w:color w:val="000000"/>
                <w:sz w:val="20"/>
              </w:rPr>
              <w:t>65.00</w:t>
            </w:r>
          </w:p>
        </w:tc>
      </w:tr>
    </w:tbl>
    <w:p w14:paraId="4C2E2C30" w14:textId="77777777" w:rsidR="00A77B3E" w:rsidRDefault="00A77B3E">
      <w:pPr>
        <w:spacing w:before="100"/>
        <w:rPr>
          <w:color w:val="000000"/>
          <w:sz w:val="20"/>
        </w:rPr>
      </w:pPr>
    </w:p>
    <w:p w14:paraId="226217C3" w14:textId="77777777" w:rsidR="00A77B3E" w:rsidRDefault="00000000">
      <w:pPr>
        <w:spacing w:before="100"/>
        <w:rPr>
          <w:color w:val="000000"/>
          <w:sz w:val="0"/>
        </w:rPr>
      </w:pPr>
      <w:r>
        <w:rPr>
          <w:color w:val="000000"/>
        </w:rPr>
        <w:t>Reference: point (d)(ii) of Article 22(3) CPR</w:t>
      </w:r>
    </w:p>
    <w:p w14:paraId="28366404" w14:textId="77777777" w:rsidR="00A77B3E" w:rsidRDefault="00000000">
      <w:pPr>
        <w:pStyle w:val="Heading5"/>
        <w:spacing w:before="100" w:after="0"/>
        <w:rPr>
          <w:b w:val="0"/>
          <w:i w:val="0"/>
          <w:color w:val="000000"/>
          <w:sz w:val="24"/>
        </w:rPr>
      </w:pPr>
      <w:bookmarkStart w:id="32" w:name="_Toc256000189"/>
      <w:r>
        <w:rPr>
          <w:b w:val="0"/>
          <w:i w:val="0"/>
          <w:color w:val="000000"/>
          <w:sz w:val="24"/>
        </w:rPr>
        <w:t>Table 3: Result indicators</w:t>
      </w:r>
      <w:bookmarkEnd w:id="32"/>
    </w:p>
    <w:p w14:paraId="49A7AE9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150"/>
        <w:gridCol w:w="632"/>
        <w:gridCol w:w="1230"/>
        <w:gridCol w:w="721"/>
        <w:gridCol w:w="3575"/>
        <w:gridCol w:w="1463"/>
        <w:gridCol w:w="1465"/>
        <w:gridCol w:w="1114"/>
        <w:gridCol w:w="902"/>
        <w:gridCol w:w="1200"/>
        <w:gridCol w:w="987"/>
      </w:tblGrid>
      <w:tr w:rsidR="00B82D50" w14:paraId="7124B2B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E0C499"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E2E5D8"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985527"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079029"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324A4F"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59BB99"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7EC303"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0C092E" w14:textId="77777777" w:rsidR="00A77B3E" w:rsidRDefault="00000000">
            <w:pPr>
              <w:spacing w:before="100"/>
              <w:jc w:val="center"/>
              <w:rPr>
                <w:color w:val="000000"/>
                <w:sz w:val="20"/>
              </w:rPr>
            </w:pPr>
            <w:r>
              <w:rPr>
                <w:color w:val="000000"/>
                <w:sz w:val="20"/>
              </w:rPr>
              <w:t>Baseline or reference value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C9014E" w14:textId="77777777" w:rsidR="00A77B3E" w:rsidRDefault="00000000">
            <w:pPr>
              <w:spacing w:before="100"/>
              <w:jc w:val="center"/>
              <w:rPr>
                <w:color w:val="000000"/>
                <w:sz w:val="20"/>
              </w:rPr>
            </w:pPr>
            <w:r>
              <w:rPr>
                <w:color w:val="000000"/>
                <w:sz w:val="20"/>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43CDC6" w14:textId="77777777" w:rsidR="00A77B3E" w:rsidRDefault="00000000">
            <w:pPr>
              <w:spacing w:before="100"/>
              <w:jc w:val="center"/>
              <w:rPr>
                <w:color w:val="000000"/>
                <w:sz w:val="20"/>
              </w:rPr>
            </w:pPr>
            <w:r>
              <w:rPr>
                <w:color w:val="000000"/>
                <w:sz w:val="20"/>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3A06DC" w14:textId="77777777" w:rsidR="00A77B3E" w:rsidRDefault="00000000">
            <w:pPr>
              <w:spacing w:before="100"/>
              <w:jc w:val="center"/>
              <w:rPr>
                <w:color w:val="000000"/>
                <w:sz w:val="20"/>
              </w:rPr>
            </w:pPr>
            <w:r>
              <w:rPr>
                <w:color w:val="000000"/>
                <w:sz w:val="20"/>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260F46" w14:textId="77777777" w:rsidR="00A77B3E" w:rsidRDefault="00000000">
            <w:pPr>
              <w:spacing w:before="100"/>
              <w:jc w:val="center"/>
              <w:rPr>
                <w:color w:val="000000"/>
                <w:sz w:val="20"/>
              </w:rPr>
            </w:pPr>
            <w:r>
              <w:rPr>
                <w:color w:val="000000"/>
                <w:sz w:val="20"/>
              </w:rPr>
              <w:t>Comments</w:t>
            </w:r>
          </w:p>
        </w:tc>
      </w:tr>
      <w:tr w:rsidR="00B82D50" w14:paraId="72D4D30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E9F359"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296C61"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2FB748"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970A2B"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6DD243" w14:textId="77777777" w:rsidR="00A77B3E" w:rsidRDefault="00000000">
            <w:pPr>
              <w:spacing w:before="100"/>
              <w:rPr>
                <w:color w:val="000000"/>
                <w:sz w:val="20"/>
              </w:rPr>
            </w:pPr>
            <w:r>
              <w:rPr>
                <w:color w:val="000000"/>
                <w:sz w:val="20"/>
              </w:rPr>
              <w:t>RCR03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28287C" w14:textId="77777777" w:rsidR="00A77B3E" w:rsidRDefault="00000000">
            <w:pPr>
              <w:spacing w:before="100"/>
              <w:rPr>
                <w:color w:val="000000"/>
                <w:sz w:val="20"/>
              </w:rPr>
            </w:pPr>
            <w:r>
              <w:rPr>
                <w:color w:val="000000"/>
                <w:sz w:val="20"/>
              </w:rPr>
              <w:t>Small and medium-sized enterprises (SMEs) introducing product or process innovation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A5F637"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3554C"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4C4318"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B69436" w14:textId="77777777" w:rsidR="00A77B3E" w:rsidRDefault="00000000">
            <w:pPr>
              <w:spacing w:before="100"/>
              <w:jc w:val="right"/>
              <w:rPr>
                <w:color w:val="000000"/>
                <w:sz w:val="20"/>
              </w:rPr>
            </w:pPr>
            <w:r>
              <w:rPr>
                <w:color w:val="000000"/>
                <w:sz w:val="20"/>
              </w:rPr>
              <w:t>330.00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60A0B5"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01DF00" w14:textId="77777777" w:rsidR="00A77B3E" w:rsidRDefault="00A77B3E">
            <w:pPr>
              <w:spacing w:before="100"/>
              <w:rPr>
                <w:color w:val="000000"/>
                <w:sz w:val="20"/>
              </w:rPr>
            </w:pPr>
          </w:p>
        </w:tc>
      </w:tr>
      <w:tr w:rsidR="00B82D50" w14:paraId="704630E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B07DB8"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D3F574"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7C356A"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19E7EB"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E2F5FE" w14:textId="77777777" w:rsidR="00A77B3E" w:rsidRDefault="00000000">
            <w:pPr>
              <w:spacing w:before="100"/>
              <w:rPr>
                <w:color w:val="000000"/>
                <w:sz w:val="20"/>
              </w:rPr>
            </w:pPr>
            <w:r>
              <w:rPr>
                <w:color w:val="000000"/>
                <w:sz w:val="20"/>
              </w:rPr>
              <w:t>RCR18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03E006" w14:textId="77777777" w:rsidR="00A77B3E" w:rsidRDefault="00000000">
            <w:pPr>
              <w:spacing w:before="100"/>
              <w:rPr>
                <w:color w:val="000000"/>
                <w:sz w:val="20"/>
              </w:rPr>
            </w:pPr>
            <w:r>
              <w:rPr>
                <w:color w:val="000000"/>
                <w:sz w:val="20"/>
              </w:rPr>
              <w:t>SMEs using incubator services after incubator creation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B61C5A" w14:textId="77777777" w:rsidR="00A77B3E" w:rsidRDefault="00000000">
            <w:pPr>
              <w:spacing w:before="100"/>
              <w:rPr>
                <w:color w:val="000000"/>
                <w:sz w:val="20"/>
              </w:rPr>
            </w:pPr>
            <w:r>
              <w:rPr>
                <w:color w:val="000000"/>
                <w:sz w:val="20"/>
              </w:rPr>
              <w:t>enterprises/year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6A57D4"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B81D29"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4369C2" w14:textId="77777777" w:rsidR="00A77B3E" w:rsidRDefault="00000000">
            <w:pPr>
              <w:spacing w:before="100"/>
              <w:jc w:val="right"/>
              <w:rPr>
                <w:color w:val="000000"/>
                <w:sz w:val="20"/>
              </w:rPr>
            </w:pPr>
            <w:r>
              <w:rPr>
                <w:color w:val="000000"/>
                <w:sz w:val="20"/>
              </w:rPr>
              <w:t>59.00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3D3CB4" w14:textId="77777777" w:rsidR="00A77B3E" w:rsidRDefault="00000000">
            <w:pPr>
              <w:spacing w:before="100"/>
              <w:rPr>
                <w:color w:val="000000"/>
                <w:sz w:val="20"/>
              </w:rPr>
            </w:pPr>
            <w:r>
              <w:rPr>
                <w:color w:val="000000"/>
                <w:sz w:val="20"/>
              </w:rPr>
              <w:t>Supported Project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4E775F" w14:textId="77777777" w:rsidR="00A77B3E" w:rsidRDefault="00A77B3E">
            <w:pPr>
              <w:spacing w:before="100"/>
              <w:rPr>
                <w:color w:val="000000"/>
                <w:sz w:val="20"/>
              </w:rPr>
            </w:pPr>
          </w:p>
        </w:tc>
      </w:tr>
    </w:tbl>
    <w:p w14:paraId="4FCF135D" w14:textId="77777777" w:rsidR="00A77B3E" w:rsidRDefault="00A77B3E">
      <w:pPr>
        <w:spacing w:before="100"/>
        <w:rPr>
          <w:color w:val="000000"/>
          <w:sz w:val="20"/>
        </w:rPr>
      </w:pPr>
    </w:p>
    <w:p w14:paraId="5626C3F4" w14:textId="77777777" w:rsidR="00A77B3E" w:rsidRDefault="00000000">
      <w:pPr>
        <w:pStyle w:val="Heading4"/>
        <w:spacing w:before="100" w:after="0"/>
        <w:rPr>
          <w:b w:val="0"/>
          <w:color w:val="000000"/>
          <w:sz w:val="24"/>
        </w:rPr>
      </w:pPr>
      <w:bookmarkStart w:id="33" w:name="_Toc256000190"/>
      <w:r>
        <w:rPr>
          <w:b w:val="0"/>
          <w:color w:val="000000"/>
          <w:sz w:val="24"/>
        </w:rPr>
        <w:t>2.1.1.1.3. Indicative breakdown of the programmed resources (EU) by type of intervention</w:t>
      </w:r>
      <w:bookmarkEnd w:id="33"/>
    </w:p>
    <w:p w14:paraId="28385A6F" w14:textId="77777777" w:rsidR="00A77B3E" w:rsidRDefault="00A77B3E">
      <w:pPr>
        <w:spacing w:before="100"/>
        <w:rPr>
          <w:color w:val="000000"/>
          <w:sz w:val="0"/>
        </w:rPr>
      </w:pPr>
    </w:p>
    <w:p w14:paraId="14F2124B" w14:textId="77777777" w:rsidR="00A77B3E" w:rsidRDefault="00000000">
      <w:pPr>
        <w:spacing w:before="100"/>
        <w:rPr>
          <w:color w:val="000000"/>
          <w:sz w:val="0"/>
        </w:rPr>
      </w:pPr>
      <w:r>
        <w:rPr>
          <w:color w:val="000000"/>
        </w:rPr>
        <w:t>Reference: point (d)(viii) of Article 22(3) CPR</w:t>
      </w:r>
    </w:p>
    <w:p w14:paraId="25B4830A" w14:textId="77777777" w:rsidR="00A77B3E" w:rsidRDefault="00000000">
      <w:pPr>
        <w:pStyle w:val="Heading5"/>
        <w:spacing w:before="100" w:after="0"/>
        <w:rPr>
          <w:b w:val="0"/>
          <w:i w:val="0"/>
          <w:color w:val="000000"/>
          <w:sz w:val="24"/>
        </w:rPr>
      </w:pPr>
      <w:bookmarkStart w:id="34" w:name="_Toc256000191"/>
      <w:r>
        <w:rPr>
          <w:b w:val="0"/>
          <w:i w:val="0"/>
          <w:color w:val="000000"/>
          <w:sz w:val="24"/>
        </w:rPr>
        <w:t>Table 4: Dimension 1 - intervention field</w:t>
      </w:r>
      <w:bookmarkEnd w:id="34"/>
    </w:p>
    <w:p w14:paraId="1913EE8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357"/>
        <w:gridCol w:w="632"/>
        <w:gridCol w:w="1434"/>
        <w:gridCol w:w="9712"/>
        <w:gridCol w:w="1305"/>
      </w:tblGrid>
      <w:tr w:rsidR="00B82D50" w14:paraId="7BF7183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B266FE"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25EFB8"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6A50B0"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A670E4"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45A589"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EC2FEB" w14:textId="77777777" w:rsidR="00A77B3E" w:rsidRDefault="00000000">
            <w:pPr>
              <w:spacing w:before="100"/>
              <w:jc w:val="center"/>
              <w:rPr>
                <w:color w:val="000000"/>
                <w:sz w:val="20"/>
              </w:rPr>
            </w:pPr>
            <w:r>
              <w:rPr>
                <w:color w:val="000000"/>
                <w:sz w:val="20"/>
              </w:rPr>
              <w:t>Amount (EUR)</w:t>
            </w:r>
          </w:p>
        </w:tc>
      </w:tr>
      <w:tr w:rsidR="00B82D50" w14:paraId="316341F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6911FB"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E3AAEA"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20BFF5"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70D18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22F25F" w14:textId="77777777" w:rsidR="00A77B3E" w:rsidRDefault="00000000">
            <w:pPr>
              <w:spacing w:before="100"/>
              <w:rPr>
                <w:color w:val="000000"/>
                <w:sz w:val="20"/>
              </w:rPr>
            </w:pPr>
            <w:r>
              <w:rPr>
                <w:color w:val="000000"/>
                <w:sz w:val="20"/>
              </w:rPr>
              <w:t xml:space="preserve">026. Support for innovation clusters including between businesses, research </w:t>
            </w:r>
            <w:proofErr w:type="spellStart"/>
            <w:r>
              <w:rPr>
                <w:color w:val="000000"/>
                <w:sz w:val="20"/>
              </w:rPr>
              <w:t>organisations</w:t>
            </w:r>
            <w:proofErr w:type="spellEnd"/>
            <w:r>
              <w:rPr>
                <w:color w:val="000000"/>
                <w:sz w:val="20"/>
              </w:rPr>
              <w:t xml:space="preserve"> and public authorities and business networks primarily benefiting SMEs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B9078C" w14:textId="77777777" w:rsidR="00A77B3E" w:rsidRDefault="00000000">
            <w:pPr>
              <w:spacing w:before="100"/>
              <w:jc w:val="right"/>
              <w:rPr>
                <w:color w:val="000000"/>
                <w:sz w:val="20"/>
              </w:rPr>
            </w:pPr>
            <w:r>
              <w:rPr>
                <w:color w:val="000000"/>
                <w:sz w:val="20"/>
              </w:rPr>
              <w:t>8,250,445.00</w:t>
            </w:r>
          </w:p>
        </w:tc>
      </w:tr>
      <w:tr w:rsidR="00B82D50" w14:paraId="2ED0199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E5FB0B"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DCA0D2"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12919A"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687758"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B73FDD"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9D368" w14:textId="77777777" w:rsidR="00A77B3E" w:rsidRDefault="00000000">
            <w:pPr>
              <w:spacing w:before="100"/>
              <w:jc w:val="right"/>
              <w:rPr>
                <w:color w:val="000000"/>
                <w:sz w:val="20"/>
              </w:rPr>
            </w:pPr>
            <w:r>
              <w:rPr>
                <w:color w:val="000000"/>
                <w:sz w:val="20"/>
              </w:rPr>
              <w:t>8,250,445.00</w:t>
            </w:r>
          </w:p>
        </w:tc>
      </w:tr>
    </w:tbl>
    <w:p w14:paraId="00739E44" w14:textId="77777777" w:rsidR="00A77B3E" w:rsidRDefault="00A77B3E">
      <w:pPr>
        <w:spacing w:before="100"/>
        <w:rPr>
          <w:color w:val="000000"/>
          <w:sz w:val="20"/>
        </w:rPr>
      </w:pPr>
    </w:p>
    <w:p w14:paraId="6E8B3E56" w14:textId="77777777" w:rsidR="00A77B3E" w:rsidRDefault="00000000">
      <w:pPr>
        <w:pStyle w:val="Heading5"/>
        <w:spacing w:before="100" w:after="0"/>
        <w:rPr>
          <w:b w:val="0"/>
          <w:i w:val="0"/>
          <w:color w:val="000000"/>
          <w:sz w:val="24"/>
        </w:rPr>
      </w:pPr>
      <w:bookmarkStart w:id="35" w:name="_Toc256000192"/>
      <w:r>
        <w:rPr>
          <w:b w:val="0"/>
          <w:i w:val="0"/>
          <w:color w:val="000000"/>
          <w:sz w:val="24"/>
        </w:rPr>
        <w:t>Table 5: Dimension 2 - form of financing</w:t>
      </w:r>
      <w:bookmarkEnd w:id="35"/>
    </w:p>
    <w:p w14:paraId="6EE36CD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84"/>
        <w:gridCol w:w="1412"/>
        <w:gridCol w:w="3645"/>
        <w:gridCol w:w="1958"/>
        <w:gridCol w:w="3037"/>
      </w:tblGrid>
      <w:tr w:rsidR="00B82D50" w14:paraId="1FC541F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D271CF"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64CAA0"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BE06FC"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1EC77D"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D7ED5C"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B9D24B" w14:textId="77777777" w:rsidR="00A77B3E" w:rsidRDefault="00000000">
            <w:pPr>
              <w:spacing w:before="100"/>
              <w:jc w:val="center"/>
              <w:rPr>
                <w:color w:val="000000"/>
                <w:sz w:val="20"/>
              </w:rPr>
            </w:pPr>
            <w:r>
              <w:rPr>
                <w:color w:val="000000"/>
                <w:sz w:val="20"/>
              </w:rPr>
              <w:t>Amount (EUR)</w:t>
            </w:r>
          </w:p>
        </w:tc>
      </w:tr>
      <w:tr w:rsidR="00B82D50" w14:paraId="4DF229B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817055"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BF5C86"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4D4D08"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910944"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1D5BFB" w14:textId="77777777" w:rsidR="00A77B3E" w:rsidRDefault="00000000">
            <w:pPr>
              <w:spacing w:before="100"/>
              <w:rPr>
                <w:color w:val="000000"/>
                <w:sz w:val="20"/>
              </w:rPr>
            </w:pPr>
            <w:r>
              <w:rPr>
                <w:color w:val="000000"/>
                <w:sz w:val="2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5E83C7" w14:textId="77777777" w:rsidR="00A77B3E" w:rsidRDefault="00000000">
            <w:pPr>
              <w:spacing w:before="100"/>
              <w:jc w:val="right"/>
              <w:rPr>
                <w:color w:val="000000"/>
                <w:sz w:val="20"/>
              </w:rPr>
            </w:pPr>
            <w:r>
              <w:rPr>
                <w:color w:val="000000"/>
                <w:sz w:val="20"/>
              </w:rPr>
              <w:t>8,250,445.00</w:t>
            </w:r>
          </w:p>
        </w:tc>
      </w:tr>
      <w:tr w:rsidR="00B82D50" w14:paraId="1EC5304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37CCDD"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BB23A3"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52E687"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62995E"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A27A32"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36C235" w14:textId="77777777" w:rsidR="00A77B3E" w:rsidRDefault="00000000">
            <w:pPr>
              <w:spacing w:before="100"/>
              <w:jc w:val="right"/>
              <w:rPr>
                <w:color w:val="000000"/>
                <w:sz w:val="20"/>
              </w:rPr>
            </w:pPr>
            <w:r>
              <w:rPr>
                <w:color w:val="000000"/>
                <w:sz w:val="20"/>
              </w:rPr>
              <w:t>8,250,445.00</w:t>
            </w:r>
          </w:p>
        </w:tc>
      </w:tr>
    </w:tbl>
    <w:p w14:paraId="0DD95F59" w14:textId="77777777" w:rsidR="00A77B3E" w:rsidRDefault="00A77B3E">
      <w:pPr>
        <w:spacing w:before="100"/>
        <w:rPr>
          <w:color w:val="000000"/>
          <w:sz w:val="20"/>
        </w:rPr>
      </w:pPr>
    </w:p>
    <w:p w14:paraId="672B871C" w14:textId="77777777" w:rsidR="00A77B3E" w:rsidRDefault="00000000">
      <w:pPr>
        <w:pStyle w:val="Heading5"/>
        <w:spacing w:before="100" w:after="0"/>
        <w:rPr>
          <w:b w:val="0"/>
          <w:i w:val="0"/>
          <w:color w:val="000000"/>
          <w:sz w:val="24"/>
        </w:rPr>
      </w:pPr>
      <w:bookmarkStart w:id="36" w:name="_Toc256000193"/>
      <w:r>
        <w:rPr>
          <w:b w:val="0"/>
          <w:i w:val="0"/>
          <w:color w:val="000000"/>
          <w:sz w:val="24"/>
        </w:rPr>
        <w:lastRenderedPageBreak/>
        <w:t>Table 6: Dimension 3 – territorial delivery mechanism and territorial focus</w:t>
      </w:r>
      <w:bookmarkEnd w:id="36"/>
    </w:p>
    <w:p w14:paraId="0BEB3CB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2422"/>
        <w:gridCol w:w="982"/>
        <w:gridCol w:w="2534"/>
        <w:gridCol w:w="5985"/>
        <w:gridCol w:w="2111"/>
      </w:tblGrid>
      <w:tr w:rsidR="00B82D50" w14:paraId="589FC1F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847EB6"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FDE43C"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299CA6"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6B77C1"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DDECB9"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CF453C" w14:textId="77777777" w:rsidR="00A77B3E" w:rsidRDefault="00000000">
            <w:pPr>
              <w:spacing w:before="100"/>
              <w:jc w:val="center"/>
              <w:rPr>
                <w:color w:val="000000"/>
                <w:sz w:val="20"/>
              </w:rPr>
            </w:pPr>
            <w:r>
              <w:rPr>
                <w:color w:val="000000"/>
                <w:sz w:val="20"/>
              </w:rPr>
              <w:t>Amount (EUR)</w:t>
            </w:r>
          </w:p>
        </w:tc>
      </w:tr>
      <w:tr w:rsidR="00B82D50" w14:paraId="18C0038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E1499F"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D21C45"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937628"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28B65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92C2E" w14:textId="77777777" w:rsidR="00A77B3E" w:rsidRDefault="00000000">
            <w:pPr>
              <w:spacing w:before="100"/>
              <w:rPr>
                <w:color w:val="000000"/>
                <w:sz w:val="20"/>
              </w:rPr>
            </w:pPr>
            <w:r>
              <w:rPr>
                <w:color w:val="000000"/>
                <w:sz w:val="20"/>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50E076" w14:textId="77777777" w:rsidR="00A77B3E" w:rsidRDefault="00000000">
            <w:pPr>
              <w:spacing w:before="100"/>
              <w:jc w:val="right"/>
              <w:rPr>
                <w:color w:val="000000"/>
                <w:sz w:val="20"/>
              </w:rPr>
            </w:pPr>
            <w:r>
              <w:rPr>
                <w:color w:val="000000"/>
                <w:sz w:val="20"/>
              </w:rPr>
              <w:t>8,250,445.00</w:t>
            </w:r>
          </w:p>
        </w:tc>
      </w:tr>
      <w:tr w:rsidR="00B82D50" w14:paraId="64FEB1E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544B34"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D5D8B7"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E7C19F"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FB9BC5"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93B873"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17CC20" w14:textId="77777777" w:rsidR="00A77B3E" w:rsidRDefault="00000000">
            <w:pPr>
              <w:spacing w:before="100"/>
              <w:jc w:val="right"/>
              <w:rPr>
                <w:color w:val="000000"/>
                <w:sz w:val="20"/>
              </w:rPr>
            </w:pPr>
            <w:r>
              <w:rPr>
                <w:color w:val="000000"/>
                <w:sz w:val="20"/>
              </w:rPr>
              <w:t>8,250,445.00</w:t>
            </w:r>
          </w:p>
        </w:tc>
      </w:tr>
    </w:tbl>
    <w:p w14:paraId="19FADECE" w14:textId="77777777" w:rsidR="00A77B3E" w:rsidRDefault="00A77B3E">
      <w:pPr>
        <w:spacing w:before="100"/>
        <w:rPr>
          <w:color w:val="000000"/>
          <w:sz w:val="20"/>
        </w:rPr>
      </w:pPr>
    </w:p>
    <w:p w14:paraId="4842450D" w14:textId="77777777" w:rsidR="00A77B3E" w:rsidRDefault="00000000">
      <w:pPr>
        <w:pStyle w:val="Heading5"/>
        <w:spacing w:before="100" w:after="0"/>
        <w:rPr>
          <w:b w:val="0"/>
          <w:i w:val="0"/>
          <w:color w:val="000000"/>
          <w:sz w:val="24"/>
        </w:rPr>
      </w:pPr>
      <w:bookmarkStart w:id="37" w:name="_Toc256000194"/>
      <w:r>
        <w:rPr>
          <w:b w:val="0"/>
          <w:i w:val="0"/>
          <w:color w:val="000000"/>
          <w:sz w:val="24"/>
        </w:rPr>
        <w:t>Table 7: Dimension 6 – ESF+ secondary themes</w:t>
      </w:r>
      <w:bookmarkEnd w:id="37"/>
    </w:p>
    <w:p w14:paraId="315FD0C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21"/>
        <w:gridCol w:w="1270"/>
        <w:gridCol w:w="3893"/>
        <w:gridCol w:w="1296"/>
        <w:gridCol w:w="3244"/>
      </w:tblGrid>
      <w:tr w:rsidR="00B82D50" w14:paraId="30B4485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D82519"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1417A2"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BDB7CBD"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4D452A"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632251"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2850E6" w14:textId="77777777" w:rsidR="00A77B3E" w:rsidRDefault="00000000">
            <w:pPr>
              <w:spacing w:before="100"/>
              <w:jc w:val="center"/>
              <w:rPr>
                <w:color w:val="000000"/>
                <w:sz w:val="20"/>
              </w:rPr>
            </w:pPr>
            <w:r>
              <w:rPr>
                <w:color w:val="000000"/>
                <w:sz w:val="20"/>
              </w:rPr>
              <w:t>Amount (EUR)</w:t>
            </w:r>
          </w:p>
        </w:tc>
      </w:tr>
    </w:tbl>
    <w:p w14:paraId="0F491C90" w14:textId="77777777" w:rsidR="00A77B3E" w:rsidRDefault="00A77B3E">
      <w:pPr>
        <w:spacing w:before="100"/>
        <w:rPr>
          <w:color w:val="000000"/>
          <w:sz w:val="20"/>
        </w:rPr>
      </w:pPr>
    </w:p>
    <w:p w14:paraId="02D96EB2" w14:textId="77777777" w:rsidR="00A77B3E" w:rsidRDefault="00000000">
      <w:pPr>
        <w:pStyle w:val="Heading5"/>
        <w:spacing w:before="100" w:after="0"/>
        <w:rPr>
          <w:b w:val="0"/>
          <w:i w:val="0"/>
          <w:color w:val="000000"/>
          <w:sz w:val="24"/>
        </w:rPr>
      </w:pPr>
      <w:bookmarkStart w:id="38" w:name="_Toc256000195"/>
      <w:r>
        <w:rPr>
          <w:b w:val="0"/>
          <w:i w:val="0"/>
          <w:color w:val="000000"/>
          <w:sz w:val="24"/>
        </w:rPr>
        <w:t>Table 8: Dimension 7 – ESF+*, ERDF, Cohesion Fund and JTF gender equality dimension</w:t>
      </w:r>
      <w:bookmarkEnd w:id="38"/>
    </w:p>
    <w:p w14:paraId="6A7866D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2898"/>
        <w:gridCol w:w="1175"/>
        <w:gridCol w:w="3032"/>
        <w:gridCol w:w="4179"/>
        <w:gridCol w:w="2526"/>
      </w:tblGrid>
      <w:tr w:rsidR="00B82D50" w14:paraId="456774A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0E77EA"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1B17C3"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6B5FD2"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47B5C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169AB9"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3A65FC" w14:textId="77777777" w:rsidR="00A77B3E" w:rsidRDefault="00000000">
            <w:pPr>
              <w:spacing w:before="100"/>
              <w:jc w:val="center"/>
              <w:rPr>
                <w:color w:val="000000"/>
                <w:sz w:val="20"/>
              </w:rPr>
            </w:pPr>
            <w:r>
              <w:rPr>
                <w:color w:val="000000"/>
                <w:sz w:val="20"/>
              </w:rPr>
              <w:t>Amount (EUR)</w:t>
            </w:r>
          </w:p>
        </w:tc>
      </w:tr>
      <w:tr w:rsidR="00B82D50" w14:paraId="28B32E0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F26BA8"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18C8B9"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D93FFE"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78C493"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19F1F3" w14:textId="77777777" w:rsidR="00A77B3E" w:rsidRDefault="00000000">
            <w:pPr>
              <w:spacing w:before="100"/>
              <w:rPr>
                <w:color w:val="000000"/>
                <w:sz w:val="20"/>
              </w:rPr>
            </w:pPr>
            <w:r>
              <w:rPr>
                <w:color w:val="000000"/>
                <w:sz w:val="20"/>
              </w:rPr>
              <w:t>02. Gender mainstreaming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3DA1D" w14:textId="77777777" w:rsidR="00A77B3E" w:rsidRDefault="00000000">
            <w:pPr>
              <w:spacing w:before="100"/>
              <w:jc w:val="right"/>
              <w:rPr>
                <w:color w:val="000000"/>
                <w:sz w:val="20"/>
              </w:rPr>
            </w:pPr>
            <w:r>
              <w:rPr>
                <w:color w:val="000000"/>
                <w:sz w:val="20"/>
              </w:rPr>
              <w:t>8,250,445.00</w:t>
            </w:r>
          </w:p>
        </w:tc>
      </w:tr>
      <w:tr w:rsidR="00B82D50" w14:paraId="093F2FE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FA864E" w14:textId="77777777" w:rsidR="00A77B3E" w:rsidRDefault="00000000">
            <w:pPr>
              <w:spacing w:before="100"/>
              <w:rPr>
                <w:color w:val="000000"/>
                <w:sz w:val="20"/>
              </w:rPr>
            </w:pPr>
            <w:r>
              <w:rPr>
                <w:color w:val="000000"/>
                <w:sz w:val="20"/>
              </w:rPr>
              <w:t>SEM1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FF5985" w14:textId="77777777" w:rsidR="00A77B3E" w:rsidRDefault="00000000">
            <w:pPr>
              <w:spacing w:before="100"/>
              <w:rPr>
                <w:color w:val="000000"/>
                <w:sz w:val="20"/>
              </w:rPr>
            </w:pPr>
            <w:r>
              <w:rPr>
                <w:color w:val="000000"/>
                <w:sz w:val="20"/>
              </w:rPr>
              <w:t>RSO1.3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1A0E79"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A9F28C"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CAE6B5"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01A5B6" w14:textId="77777777" w:rsidR="00A77B3E" w:rsidRDefault="00000000">
            <w:pPr>
              <w:spacing w:before="100"/>
              <w:jc w:val="right"/>
              <w:rPr>
                <w:color w:val="000000"/>
                <w:sz w:val="20"/>
              </w:rPr>
            </w:pPr>
            <w:r>
              <w:rPr>
                <w:color w:val="000000"/>
                <w:sz w:val="20"/>
              </w:rPr>
              <w:t>8,250,445.00</w:t>
            </w:r>
          </w:p>
        </w:tc>
      </w:tr>
    </w:tbl>
    <w:p w14:paraId="581D8343" w14:textId="77777777" w:rsidR="00A77B3E" w:rsidRDefault="00000000">
      <w:pPr>
        <w:spacing w:before="100"/>
        <w:rPr>
          <w:color w:val="000000"/>
          <w:sz w:val="20"/>
        </w:rPr>
      </w:pPr>
      <w:r>
        <w:rPr>
          <w:color w:val="000000"/>
          <w:sz w:val="20"/>
        </w:rPr>
        <w:t>* In principle, 40 % for the ESF+ contributes to gender tracking. 100 % is applicable when Member State chooses to use Article 6 ESF+</w:t>
      </w:r>
    </w:p>
    <w:p w14:paraId="7F419314" w14:textId="77777777" w:rsidR="00A77B3E" w:rsidRDefault="00000000">
      <w:pPr>
        <w:pStyle w:val="Heading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39" w:name="_Toc256000196"/>
      <w:r>
        <w:rPr>
          <w:rFonts w:ascii="Times New Roman" w:hAnsi="Times New Roman" w:cs="Times New Roman"/>
          <w:b w:val="0"/>
          <w:color w:val="000000"/>
          <w:sz w:val="24"/>
        </w:rPr>
        <w:lastRenderedPageBreak/>
        <w:t>2.1.1. Priority: SEM2. Low-Carbon Energy Efficient Regions</w:t>
      </w:r>
      <w:bookmarkEnd w:id="39"/>
    </w:p>
    <w:p w14:paraId="11B45C22" w14:textId="77777777" w:rsidR="00A77B3E" w:rsidRDefault="00A77B3E">
      <w:pPr>
        <w:spacing w:before="100"/>
        <w:rPr>
          <w:color w:val="000000"/>
          <w:sz w:val="0"/>
        </w:rPr>
      </w:pPr>
    </w:p>
    <w:p w14:paraId="4F3F2D30" w14:textId="77777777" w:rsidR="00A77B3E" w:rsidRDefault="00000000">
      <w:pPr>
        <w:pStyle w:val="Heading4"/>
        <w:spacing w:before="100" w:after="0"/>
        <w:rPr>
          <w:b w:val="0"/>
          <w:color w:val="000000"/>
          <w:sz w:val="24"/>
        </w:rPr>
      </w:pPr>
      <w:bookmarkStart w:id="40" w:name="_Toc256000197"/>
      <w:r>
        <w:rPr>
          <w:b w:val="0"/>
          <w:color w:val="000000"/>
          <w:sz w:val="24"/>
        </w:rPr>
        <w:t>2.1.1.1. Specific objective: RSO2.1. Promoting energy efficiency and reducing greenhouse gas emissions (ERDF)</w:t>
      </w:r>
      <w:bookmarkEnd w:id="40"/>
    </w:p>
    <w:p w14:paraId="45B5640D" w14:textId="77777777" w:rsidR="00A77B3E" w:rsidRDefault="00A77B3E">
      <w:pPr>
        <w:spacing w:before="100"/>
        <w:rPr>
          <w:color w:val="000000"/>
          <w:sz w:val="0"/>
        </w:rPr>
      </w:pPr>
    </w:p>
    <w:p w14:paraId="5ACC29DA" w14:textId="77777777" w:rsidR="00A77B3E" w:rsidRDefault="00000000">
      <w:pPr>
        <w:pStyle w:val="Heading4"/>
        <w:spacing w:before="100" w:after="0"/>
        <w:rPr>
          <w:b w:val="0"/>
          <w:color w:val="000000"/>
          <w:sz w:val="24"/>
        </w:rPr>
      </w:pPr>
      <w:bookmarkStart w:id="41" w:name="_Toc256000198"/>
      <w:r>
        <w:rPr>
          <w:b w:val="0"/>
          <w:color w:val="000000"/>
          <w:sz w:val="24"/>
        </w:rPr>
        <w:t>2.1.1.1.1. Interventions of the Funds</w:t>
      </w:r>
      <w:bookmarkEnd w:id="41"/>
    </w:p>
    <w:p w14:paraId="656E75F2" w14:textId="77777777" w:rsidR="00A77B3E" w:rsidRDefault="00A77B3E">
      <w:pPr>
        <w:spacing w:before="100"/>
        <w:rPr>
          <w:color w:val="000000"/>
          <w:sz w:val="0"/>
        </w:rPr>
      </w:pPr>
    </w:p>
    <w:p w14:paraId="59AFB861" w14:textId="77777777" w:rsidR="00A77B3E" w:rsidRDefault="00000000">
      <w:pPr>
        <w:spacing w:before="100"/>
        <w:rPr>
          <w:color w:val="000000"/>
          <w:sz w:val="0"/>
        </w:rPr>
      </w:pPr>
      <w:r>
        <w:rPr>
          <w:color w:val="000000"/>
        </w:rPr>
        <w:t>Reference: points (d)(</w:t>
      </w:r>
      <w:proofErr w:type="spellStart"/>
      <w:r>
        <w:rPr>
          <w:color w:val="000000"/>
        </w:rPr>
        <w:t>i</w:t>
      </w:r>
      <w:proofErr w:type="spellEnd"/>
      <w:r>
        <w:rPr>
          <w:color w:val="000000"/>
        </w:rPr>
        <w:t>), (iii), (iv), (v), (vi) and (vii) of Article 22(3) CPR</w:t>
      </w:r>
    </w:p>
    <w:p w14:paraId="4541378E" w14:textId="77777777" w:rsidR="00A77B3E" w:rsidRDefault="00000000">
      <w:pPr>
        <w:pStyle w:val="Heading5"/>
        <w:spacing w:before="100" w:after="0"/>
        <w:rPr>
          <w:b w:val="0"/>
          <w:i w:val="0"/>
          <w:color w:val="000000"/>
          <w:sz w:val="24"/>
        </w:rPr>
      </w:pPr>
      <w:bookmarkStart w:id="42" w:name="_Toc256000199"/>
      <w:r>
        <w:rPr>
          <w:b w:val="0"/>
          <w:i w:val="0"/>
          <w:color w:val="000000"/>
          <w:sz w:val="24"/>
        </w:rPr>
        <w:t>The related types of actions – point (d)(</w:t>
      </w:r>
      <w:proofErr w:type="spellStart"/>
      <w:r>
        <w:rPr>
          <w:b w:val="0"/>
          <w:i w:val="0"/>
          <w:color w:val="000000"/>
          <w:sz w:val="24"/>
        </w:rPr>
        <w:t>i</w:t>
      </w:r>
      <w:proofErr w:type="spellEnd"/>
      <w:r>
        <w:rPr>
          <w:b w:val="0"/>
          <w:i w:val="0"/>
          <w:color w:val="000000"/>
          <w:sz w:val="24"/>
        </w:rPr>
        <w:t>) of Article 22(3) CPR and Article 6 ESF+ Regulation:</w:t>
      </w:r>
      <w:bookmarkEnd w:id="42"/>
    </w:p>
    <w:p w14:paraId="71FD260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45D03D2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A842B8" w14:textId="77777777" w:rsidR="00A77B3E" w:rsidRDefault="00A77B3E">
            <w:pPr>
              <w:spacing w:before="100"/>
              <w:rPr>
                <w:color w:val="000000"/>
                <w:sz w:val="0"/>
              </w:rPr>
            </w:pPr>
          </w:p>
          <w:p w14:paraId="2D14499D" w14:textId="77777777" w:rsidR="00A77B3E" w:rsidRDefault="00000000">
            <w:pPr>
              <w:spacing w:before="100"/>
              <w:rPr>
                <w:color w:val="000000"/>
              </w:rPr>
            </w:pPr>
            <w:r>
              <w:rPr>
                <w:color w:val="000000"/>
              </w:rPr>
              <w:t xml:space="preserve">The following types of action will be taken under this priority to promote energy efficiency and reduce greenhouse gas emissions in the </w:t>
            </w:r>
            <w:proofErr w:type="spellStart"/>
            <w:r>
              <w:rPr>
                <w:color w:val="000000"/>
              </w:rPr>
              <w:t>programme</w:t>
            </w:r>
            <w:proofErr w:type="spellEnd"/>
            <w:r>
              <w:rPr>
                <w:color w:val="000000"/>
              </w:rPr>
              <w:t xml:space="preserve"> area.</w:t>
            </w:r>
          </w:p>
          <w:p w14:paraId="7E58CB6C" w14:textId="77777777" w:rsidR="00A77B3E" w:rsidRDefault="00A77B3E">
            <w:pPr>
              <w:spacing w:before="100"/>
              <w:rPr>
                <w:color w:val="000000"/>
              </w:rPr>
            </w:pPr>
          </w:p>
          <w:p w14:paraId="2F80E1B3" w14:textId="77777777" w:rsidR="00A77B3E" w:rsidRDefault="00000000">
            <w:pPr>
              <w:spacing w:before="100"/>
              <w:rPr>
                <w:color w:val="000000"/>
              </w:rPr>
            </w:pPr>
            <w:r>
              <w:rPr>
                <w:rStyle w:val="Strong"/>
                <w:b w:val="0"/>
                <w:color w:val="000000"/>
              </w:rPr>
              <w:t>Improving the energy efficiency of residential homes and reducing the risk and prevalence of energy poverty in our regions</w:t>
            </w:r>
          </w:p>
          <w:p w14:paraId="7E5F666B" w14:textId="77777777" w:rsidR="00A77B3E" w:rsidRDefault="00A77B3E">
            <w:pPr>
              <w:spacing w:before="100"/>
              <w:rPr>
                <w:color w:val="000000"/>
              </w:rPr>
            </w:pPr>
          </w:p>
          <w:p w14:paraId="2CE90145" w14:textId="77777777" w:rsidR="00A77B3E" w:rsidRDefault="00000000">
            <w:pPr>
              <w:spacing w:before="100"/>
              <w:rPr>
                <w:color w:val="000000"/>
              </w:rPr>
            </w:pPr>
            <w:r>
              <w:rPr>
                <w:color w:val="000000"/>
              </w:rPr>
              <w:t>Action RSO2.1.1: Support the delivery of energy efficiency renovations free of charge to owner-occupied lower-income households who meet the defined eligibility criteria and who are in, or are vulnerable to, energy poverty. This action will use learnings from similar actions in the 2014-2020 programming period and will:</w:t>
            </w:r>
          </w:p>
          <w:p w14:paraId="01E28B36" w14:textId="77777777" w:rsidR="00A77B3E" w:rsidRDefault="00A77B3E">
            <w:pPr>
              <w:numPr>
                <w:ilvl w:val="0"/>
                <w:numId w:val="5"/>
              </w:numPr>
              <w:spacing w:before="100"/>
              <w:rPr>
                <w:color w:val="000000"/>
              </w:rPr>
            </w:pPr>
          </w:p>
          <w:p w14:paraId="6B03539B" w14:textId="77777777" w:rsidR="00A77B3E" w:rsidRDefault="00000000">
            <w:pPr>
              <w:numPr>
                <w:ilvl w:val="1"/>
                <w:numId w:val="5"/>
              </w:numPr>
              <w:spacing w:before="100"/>
              <w:rPr>
                <w:color w:val="000000"/>
              </w:rPr>
            </w:pPr>
            <w:r>
              <w:rPr>
                <w:color w:val="000000"/>
              </w:rPr>
              <w:t>retrofit homes with the aim to achieve, on average, at least a medium-depth level renovation</w:t>
            </w:r>
          </w:p>
          <w:p w14:paraId="79AB5BF7" w14:textId="77777777" w:rsidR="00A77B3E" w:rsidRDefault="00000000">
            <w:pPr>
              <w:numPr>
                <w:ilvl w:val="1"/>
                <w:numId w:val="5"/>
              </w:numPr>
              <w:spacing w:before="100"/>
              <w:rPr>
                <w:color w:val="000000"/>
              </w:rPr>
            </w:pPr>
            <w:r>
              <w:rPr>
                <w:color w:val="000000"/>
              </w:rPr>
              <w:t>pilot the installation of heat pumps in existing premises, to replace older less efficient heating systems</w:t>
            </w:r>
          </w:p>
          <w:p w14:paraId="3DF410D6" w14:textId="77777777" w:rsidR="00A77B3E" w:rsidRDefault="00000000">
            <w:pPr>
              <w:numPr>
                <w:ilvl w:val="1"/>
                <w:numId w:val="5"/>
              </w:numPr>
              <w:spacing w:before="100"/>
              <w:rPr>
                <w:color w:val="000000"/>
              </w:rPr>
            </w:pPr>
            <w:r>
              <w:rPr>
                <w:color w:val="000000"/>
              </w:rPr>
              <w:t>gather evidence from the pilot to inform the appropriate process and approach to increasing the number of B2 upgrades and heat pump installations going forward</w:t>
            </w:r>
          </w:p>
          <w:p w14:paraId="5736B031" w14:textId="77777777" w:rsidR="00A77B3E" w:rsidRDefault="00000000">
            <w:pPr>
              <w:numPr>
                <w:ilvl w:val="1"/>
                <w:numId w:val="5"/>
              </w:numPr>
              <w:spacing w:before="100"/>
              <w:rPr>
                <w:color w:val="000000"/>
              </w:rPr>
            </w:pPr>
            <w:r>
              <w:rPr>
                <w:color w:val="000000"/>
              </w:rPr>
              <w:t>provide an evidence base to improve the targeting of energy efficiency schemes</w:t>
            </w:r>
          </w:p>
          <w:p w14:paraId="68122875" w14:textId="77777777" w:rsidR="00A77B3E" w:rsidRDefault="00000000">
            <w:pPr>
              <w:numPr>
                <w:ilvl w:val="1"/>
                <w:numId w:val="5"/>
              </w:numPr>
              <w:spacing w:before="100"/>
              <w:rPr>
                <w:color w:val="000000"/>
              </w:rPr>
            </w:pPr>
            <w:r>
              <w:rPr>
                <w:color w:val="000000"/>
              </w:rPr>
              <w:t>examine the impact of retrofitting on alleviating energy poverty</w:t>
            </w:r>
          </w:p>
          <w:p w14:paraId="1BA6F67C" w14:textId="77777777" w:rsidR="00A77B3E" w:rsidRDefault="00A77B3E">
            <w:pPr>
              <w:spacing w:before="100"/>
              <w:rPr>
                <w:color w:val="000000"/>
              </w:rPr>
            </w:pPr>
          </w:p>
          <w:p w14:paraId="6F4AAEB0" w14:textId="77777777" w:rsidR="00A77B3E" w:rsidRDefault="00000000">
            <w:pPr>
              <w:numPr>
                <w:ilvl w:val="0"/>
                <w:numId w:val="6"/>
              </w:numPr>
              <w:spacing w:before="100"/>
              <w:rPr>
                <w:color w:val="000000"/>
              </w:rPr>
            </w:pPr>
            <w:r>
              <w:rPr>
                <w:color w:val="000000"/>
              </w:rPr>
              <w:t>ERDF resources will be focused on “Deep Heat Renovations” to include attic insulation, cavity insulation, external and internal wall insulation, new heating systems and where appropriate replacement windows, draught proofing, lagging jackets and energy efficient lighting. The exact measures will be based on a technical assessment of each property. Resource efficient building materials and recycling building materials will be encouraged where feasible.</w:t>
            </w:r>
          </w:p>
          <w:p w14:paraId="1F1C8642" w14:textId="77777777" w:rsidR="00A77B3E" w:rsidRDefault="00000000">
            <w:pPr>
              <w:numPr>
                <w:ilvl w:val="0"/>
                <w:numId w:val="6"/>
              </w:numPr>
              <w:spacing w:before="100"/>
              <w:rPr>
                <w:color w:val="000000"/>
              </w:rPr>
            </w:pPr>
            <w:r>
              <w:rPr>
                <w:color w:val="000000"/>
              </w:rPr>
              <w:t xml:space="preserve">Selection of eligible properties will be </w:t>
            </w:r>
            <w:proofErr w:type="spellStart"/>
            <w:r>
              <w:rPr>
                <w:color w:val="000000"/>
              </w:rPr>
              <w:t>prioritised</w:t>
            </w:r>
            <w:proofErr w:type="spellEnd"/>
            <w:r>
              <w:rPr>
                <w:color w:val="000000"/>
              </w:rPr>
              <w:t xml:space="preserve"> based firstly on applications received prior to 14th February 2022 and then by worst performing BER of E, F and G homes built before 1995 with an objective to concentrate resources on the properties where the greatest impact can be achieved. Pre-works and post-works BERs will be required for all homes renovated in order to ensure the reliability and accuracy of indicator data.</w:t>
            </w:r>
          </w:p>
          <w:p w14:paraId="2457503E" w14:textId="77777777" w:rsidR="00A77B3E" w:rsidRDefault="00000000">
            <w:pPr>
              <w:numPr>
                <w:ilvl w:val="0"/>
                <w:numId w:val="6"/>
              </w:numPr>
              <w:spacing w:before="100"/>
              <w:rPr>
                <w:color w:val="000000"/>
              </w:rPr>
            </w:pPr>
            <w:r>
              <w:rPr>
                <w:color w:val="000000"/>
              </w:rPr>
              <w:lastRenderedPageBreak/>
              <w:t>Learning from the Interreg Europe EMPOWER project will also be used to support the evaluation of impact on energy poverty.</w:t>
            </w:r>
          </w:p>
          <w:p w14:paraId="44AE3231" w14:textId="77777777" w:rsidR="00A77B3E" w:rsidRDefault="00000000">
            <w:pPr>
              <w:numPr>
                <w:ilvl w:val="0"/>
                <w:numId w:val="6"/>
              </w:numPr>
              <w:spacing w:before="100"/>
              <w:rPr>
                <w:color w:val="000000"/>
              </w:rPr>
            </w:pPr>
            <w:r>
              <w:rPr>
                <w:color w:val="000000"/>
              </w:rPr>
              <w:t>The Managing Authority will establish a Communications Working Group to include the ERDF Communications Officers from both Regional Programmes together with representatives of DECC and the beneficiary to agree on an approach and action plan to improving the visibility of ERDF supports.</w:t>
            </w:r>
          </w:p>
          <w:p w14:paraId="69C84935" w14:textId="77777777" w:rsidR="00A77B3E" w:rsidRDefault="00A77B3E">
            <w:pPr>
              <w:spacing w:before="100"/>
              <w:rPr>
                <w:color w:val="000000"/>
              </w:rPr>
            </w:pPr>
          </w:p>
          <w:p w14:paraId="43AD5410" w14:textId="77777777" w:rsidR="00A77B3E" w:rsidRDefault="00000000">
            <w:pPr>
              <w:spacing w:before="100"/>
              <w:rPr>
                <w:color w:val="000000"/>
              </w:rPr>
            </w:pPr>
            <w:r>
              <w:rPr>
                <w:color w:val="000000"/>
              </w:rPr>
              <w:t>===================</w:t>
            </w:r>
          </w:p>
          <w:p w14:paraId="6B7ED389" w14:textId="77777777" w:rsidR="00A77B3E" w:rsidRDefault="00A77B3E">
            <w:pPr>
              <w:spacing w:before="100"/>
              <w:rPr>
                <w:color w:val="000000"/>
              </w:rPr>
            </w:pPr>
          </w:p>
          <w:p w14:paraId="7B8613EB" w14:textId="77777777" w:rsidR="00A77B3E" w:rsidRDefault="00000000">
            <w:pPr>
              <w:spacing w:before="100"/>
              <w:rPr>
                <w:color w:val="000000"/>
              </w:rPr>
            </w:pPr>
            <w:r>
              <w:rPr>
                <w:rStyle w:val="Strong"/>
                <w:b w:val="0"/>
                <w:color w:val="000000"/>
              </w:rPr>
              <w:t>Strategic Procurement and Environmentally Sustainable Solutions</w:t>
            </w:r>
          </w:p>
          <w:p w14:paraId="61B726F7" w14:textId="77777777" w:rsidR="00A77B3E" w:rsidRDefault="00000000">
            <w:pPr>
              <w:spacing w:before="100"/>
              <w:rPr>
                <w:color w:val="000000"/>
              </w:rPr>
            </w:pPr>
            <w:r>
              <w:rPr>
                <w:color w:val="000000"/>
              </w:rPr>
              <w:t xml:space="preserve">The Managing Authority will promote the strategic use of public procurement to support actions under this Specific Objective, including </w:t>
            </w:r>
            <w:proofErr w:type="spellStart"/>
            <w:r>
              <w:rPr>
                <w:color w:val="000000"/>
              </w:rPr>
              <w:t>professionalisation</w:t>
            </w:r>
            <w:proofErr w:type="spellEnd"/>
            <w:r>
              <w:rPr>
                <w:color w:val="000000"/>
              </w:rPr>
              <w:t xml:space="preserve"> efforts to address capacity gaps. Beneficiaries will be encouraged to use more quality-related and lifecycle cost criteria. When feasible, environmental (e.g., green public procurement criteria) and social considerations as well as innovation incentives will be incorporated into public procurement procedures.</w:t>
            </w:r>
          </w:p>
          <w:p w14:paraId="4A5EB0AA" w14:textId="77777777" w:rsidR="00A77B3E" w:rsidRDefault="00A77B3E">
            <w:pPr>
              <w:spacing w:before="100"/>
              <w:rPr>
                <w:color w:val="000000"/>
              </w:rPr>
            </w:pPr>
          </w:p>
          <w:p w14:paraId="2DAC48EB" w14:textId="77777777" w:rsidR="00A77B3E" w:rsidRDefault="00000000">
            <w:pPr>
              <w:spacing w:before="100"/>
              <w:rPr>
                <w:color w:val="000000"/>
              </w:rPr>
            </w:pPr>
            <w:r>
              <w:rPr>
                <w:color w:val="000000"/>
              </w:rPr>
              <w:t>The selection of projects will be made based on criteria that take into account the most environmentally sustainable solutions. These criteria shall be adapted to the nature of the intervention and applied as widely as possible.</w:t>
            </w:r>
          </w:p>
          <w:p w14:paraId="45762D12" w14:textId="77777777" w:rsidR="00A77B3E" w:rsidRDefault="00A77B3E">
            <w:pPr>
              <w:spacing w:before="100"/>
              <w:rPr>
                <w:color w:val="000000"/>
              </w:rPr>
            </w:pPr>
          </w:p>
          <w:p w14:paraId="61ABF33D" w14:textId="77777777" w:rsidR="00A77B3E" w:rsidRDefault="00000000">
            <w:pPr>
              <w:spacing w:before="100"/>
              <w:rPr>
                <w:color w:val="000000"/>
              </w:rPr>
            </w:pPr>
            <w:r>
              <w:rPr>
                <w:rStyle w:val="Strong"/>
                <w:b w:val="0"/>
                <w:color w:val="000000"/>
              </w:rPr>
              <w:t>Do No Significant Harm (DNSH) Analysis</w:t>
            </w:r>
          </w:p>
          <w:p w14:paraId="1C9F53FD" w14:textId="77777777" w:rsidR="00A77B3E" w:rsidRDefault="00000000">
            <w:pPr>
              <w:spacing w:before="100"/>
              <w:rPr>
                <w:color w:val="000000"/>
              </w:rPr>
            </w:pPr>
            <w:r>
              <w:rPr>
                <w:color w:val="000000"/>
              </w:rPr>
              <w:t>A DNSH analysis has been carried out at the level of the types of actions defined above and it has been determined that these actions would do no significant harm to environmental objectives within the meaning of Article 17 of Regulation (EU) 2020/852 of the European Parliament and of the Council.</w:t>
            </w:r>
          </w:p>
          <w:p w14:paraId="2765C8CF" w14:textId="77777777" w:rsidR="00A77B3E" w:rsidRDefault="00A77B3E">
            <w:pPr>
              <w:spacing w:before="100"/>
              <w:rPr>
                <w:color w:val="000000"/>
                <w:sz w:val="6"/>
              </w:rPr>
            </w:pPr>
          </w:p>
          <w:p w14:paraId="06D57403" w14:textId="77777777" w:rsidR="00A77B3E" w:rsidRDefault="00A77B3E">
            <w:pPr>
              <w:spacing w:before="100"/>
              <w:rPr>
                <w:color w:val="000000"/>
                <w:sz w:val="6"/>
              </w:rPr>
            </w:pPr>
          </w:p>
        </w:tc>
      </w:tr>
    </w:tbl>
    <w:p w14:paraId="60C6E57F" w14:textId="77777777" w:rsidR="00A77B3E" w:rsidRDefault="00A77B3E">
      <w:pPr>
        <w:spacing w:before="100"/>
        <w:rPr>
          <w:color w:val="000000"/>
        </w:rPr>
      </w:pPr>
    </w:p>
    <w:p w14:paraId="495F1B4B" w14:textId="77777777" w:rsidR="00A77B3E" w:rsidRDefault="00000000">
      <w:pPr>
        <w:pStyle w:val="Heading5"/>
        <w:spacing w:before="100" w:after="0"/>
        <w:rPr>
          <w:b w:val="0"/>
          <w:i w:val="0"/>
          <w:color w:val="000000"/>
          <w:sz w:val="24"/>
        </w:rPr>
      </w:pPr>
      <w:bookmarkStart w:id="43" w:name="_Toc256000200"/>
      <w:r>
        <w:rPr>
          <w:b w:val="0"/>
          <w:i w:val="0"/>
          <w:color w:val="000000"/>
          <w:sz w:val="24"/>
        </w:rPr>
        <w:t>The main target groups - point (d)(iii) of Article 22(3) CPR:</w:t>
      </w:r>
      <w:bookmarkEnd w:id="43"/>
    </w:p>
    <w:p w14:paraId="60A6E42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123C3BB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8AEF06" w14:textId="77777777" w:rsidR="00A77B3E" w:rsidRDefault="00A77B3E">
            <w:pPr>
              <w:spacing w:before="100"/>
              <w:rPr>
                <w:color w:val="000000"/>
                <w:sz w:val="0"/>
              </w:rPr>
            </w:pPr>
          </w:p>
          <w:p w14:paraId="5600B0FD" w14:textId="77777777" w:rsidR="00A77B3E" w:rsidRDefault="00000000">
            <w:pPr>
              <w:spacing w:before="100"/>
              <w:rPr>
                <w:color w:val="000000"/>
              </w:rPr>
            </w:pPr>
            <w:r>
              <w:rPr>
                <w:color w:val="000000"/>
              </w:rPr>
              <w:t xml:space="preserve">The target beneficiary of ERDF funding under RSO2.1 will be a public body or bodies responsible for energy efficiency in residential buildings at national, regional or local level. Funding is likely to be awarded through non-competitive calls and will use public procurement to deliver the supported actions at scale within the </w:t>
            </w:r>
            <w:proofErr w:type="spellStart"/>
            <w:r>
              <w:rPr>
                <w:color w:val="000000"/>
              </w:rPr>
              <w:t>programme</w:t>
            </w:r>
            <w:proofErr w:type="spellEnd"/>
            <w:r>
              <w:rPr>
                <w:color w:val="000000"/>
              </w:rPr>
              <w:t xml:space="preserve"> area.</w:t>
            </w:r>
          </w:p>
          <w:p w14:paraId="7392C4D4" w14:textId="77777777" w:rsidR="00A77B3E" w:rsidRDefault="00A77B3E">
            <w:pPr>
              <w:spacing w:before="100"/>
              <w:rPr>
                <w:color w:val="000000"/>
              </w:rPr>
            </w:pPr>
          </w:p>
          <w:p w14:paraId="609600EF" w14:textId="77777777" w:rsidR="00A77B3E" w:rsidRDefault="00000000">
            <w:pPr>
              <w:spacing w:before="100"/>
              <w:rPr>
                <w:color w:val="000000"/>
              </w:rPr>
            </w:pPr>
            <w:r>
              <w:rPr>
                <w:color w:val="000000"/>
              </w:rPr>
              <w:t xml:space="preserve">Energy efficiency works will be carried out by a panel of contractors, which may include both SMEs and community-based </w:t>
            </w:r>
            <w:proofErr w:type="spellStart"/>
            <w:r>
              <w:rPr>
                <w:color w:val="000000"/>
              </w:rPr>
              <w:t>organisations</w:t>
            </w:r>
            <w:proofErr w:type="spellEnd"/>
            <w:r>
              <w:rPr>
                <w:color w:val="000000"/>
              </w:rPr>
              <w:t xml:space="preserve">. This panel will be appointed following a public procurement process. The scale up of investment will support job creation in SMEs and community-based </w:t>
            </w:r>
            <w:proofErr w:type="spellStart"/>
            <w:r>
              <w:rPr>
                <w:color w:val="000000"/>
              </w:rPr>
              <w:t>organisations</w:t>
            </w:r>
            <w:proofErr w:type="spellEnd"/>
            <w:r>
              <w:rPr>
                <w:color w:val="000000"/>
              </w:rPr>
              <w:t xml:space="preserve"> in the </w:t>
            </w:r>
            <w:proofErr w:type="spellStart"/>
            <w:r>
              <w:rPr>
                <w:color w:val="000000"/>
              </w:rPr>
              <w:t>programme</w:t>
            </w:r>
            <w:proofErr w:type="spellEnd"/>
            <w:r>
              <w:rPr>
                <w:color w:val="000000"/>
              </w:rPr>
              <w:t xml:space="preserve"> area.</w:t>
            </w:r>
          </w:p>
          <w:p w14:paraId="75AEBDD8" w14:textId="77777777" w:rsidR="00A77B3E" w:rsidRDefault="00A77B3E">
            <w:pPr>
              <w:spacing w:before="100"/>
              <w:rPr>
                <w:color w:val="000000"/>
              </w:rPr>
            </w:pPr>
          </w:p>
          <w:p w14:paraId="4BB5EC52" w14:textId="77777777" w:rsidR="00A77B3E" w:rsidRDefault="00000000">
            <w:pPr>
              <w:spacing w:before="100"/>
              <w:rPr>
                <w:color w:val="000000"/>
              </w:rPr>
            </w:pPr>
            <w:r>
              <w:rPr>
                <w:color w:val="000000"/>
              </w:rPr>
              <w:t xml:space="preserve">The ultimate beneficiaries of the actions supported will be lower income homeowners in the </w:t>
            </w:r>
            <w:proofErr w:type="spellStart"/>
            <w:r>
              <w:rPr>
                <w:color w:val="000000"/>
              </w:rPr>
              <w:t>programme</w:t>
            </w:r>
            <w:proofErr w:type="spellEnd"/>
            <w:r>
              <w:rPr>
                <w:color w:val="000000"/>
              </w:rPr>
              <w:t xml:space="preserve"> area who are in, or are vulnerable to, energy poverty. The criteria for qualifying homeowners will be kept under review and may be modified during the lifetime of the </w:t>
            </w:r>
            <w:proofErr w:type="spellStart"/>
            <w:r>
              <w:rPr>
                <w:color w:val="000000"/>
              </w:rPr>
              <w:t>programme</w:t>
            </w:r>
            <w:proofErr w:type="spellEnd"/>
            <w:r>
              <w:rPr>
                <w:color w:val="000000"/>
              </w:rPr>
              <w:t xml:space="preserve"> to support optimal targeting of households vulnerable to energy poverty.</w:t>
            </w:r>
          </w:p>
          <w:p w14:paraId="1D37F283" w14:textId="77777777" w:rsidR="00A77B3E" w:rsidRDefault="00A77B3E">
            <w:pPr>
              <w:spacing w:before="100"/>
              <w:rPr>
                <w:color w:val="000000"/>
                <w:sz w:val="6"/>
              </w:rPr>
            </w:pPr>
          </w:p>
          <w:p w14:paraId="065F5493" w14:textId="77777777" w:rsidR="00A77B3E" w:rsidRDefault="00A77B3E">
            <w:pPr>
              <w:spacing w:before="100"/>
              <w:rPr>
                <w:color w:val="000000"/>
                <w:sz w:val="6"/>
              </w:rPr>
            </w:pPr>
          </w:p>
        </w:tc>
      </w:tr>
    </w:tbl>
    <w:p w14:paraId="2BCC54D8" w14:textId="77777777" w:rsidR="00A77B3E" w:rsidRDefault="00A77B3E">
      <w:pPr>
        <w:spacing w:before="100"/>
        <w:rPr>
          <w:color w:val="000000"/>
        </w:rPr>
      </w:pPr>
    </w:p>
    <w:p w14:paraId="58DFA920" w14:textId="77777777" w:rsidR="00A77B3E" w:rsidRDefault="00000000">
      <w:pPr>
        <w:pStyle w:val="Heading5"/>
        <w:spacing w:before="100" w:after="0"/>
        <w:rPr>
          <w:b w:val="0"/>
          <w:i w:val="0"/>
          <w:color w:val="000000"/>
          <w:sz w:val="24"/>
        </w:rPr>
      </w:pPr>
      <w:bookmarkStart w:id="44" w:name="_Toc256000201"/>
      <w:r>
        <w:rPr>
          <w:b w:val="0"/>
          <w:i w:val="0"/>
          <w:color w:val="000000"/>
          <w:sz w:val="24"/>
        </w:rPr>
        <w:t>Actions safeguarding equality, inclusion and non-discrimination – point (d)(iv) of Article 22(3) CPR and Article 6 ESF+ Regulation</w:t>
      </w:r>
      <w:bookmarkEnd w:id="44"/>
    </w:p>
    <w:p w14:paraId="1768157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56FA544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0CD5E5" w14:textId="77777777" w:rsidR="00A77B3E" w:rsidRDefault="00A77B3E">
            <w:pPr>
              <w:spacing w:before="100"/>
              <w:rPr>
                <w:color w:val="000000"/>
                <w:sz w:val="0"/>
              </w:rPr>
            </w:pPr>
          </w:p>
          <w:p w14:paraId="7A766D3B" w14:textId="77777777" w:rsidR="00A77B3E" w:rsidRDefault="00000000">
            <w:pPr>
              <w:spacing w:before="100"/>
              <w:rPr>
                <w:color w:val="000000"/>
              </w:rPr>
            </w:pPr>
            <w:r>
              <w:rPr>
                <w:color w:val="000000"/>
              </w:rPr>
              <w:t>Please refer to details already provided under 'Actions safeguarding equality, inclusion and non-discrimination – point (d)(iv) of Article 22(3) CPR and Article 6 ESF+ Regulation' under RSO1.1.</w:t>
            </w:r>
          </w:p>
          <w:p w14:paraId="2C4975BC" w14:textId="77777777" w:rsidR="00A77B3E" w:rsidRDefault="00A77B3E">
            <w:pPr>
              <w:spacing w:before="100"/>
              <w:rPr>
                <w:color w:val="000000"/>
                <w:sz w:val="6"/>
              </w:rPr>
            </w:pPr>
          </w:p>
          <w:p w14:paraId="1936662C" w14:textId="77777777" w:rsidR="00A77B3E" w:rsidRDefault="00A77B3E">
            <w:pPr>
              <w:spacing w:before="100"/>
              <w:rPr>
                <w:color w:val="000000"/>
                <w:sz w:val="6"/>
              </w:rPr>
            </w:pPr>
          </w:p>
        </w:tc>
      </w:tr>
    </w:tbl>
    <w:p w14:paraId="5C807E76" w14:textId="77777777" w:rsidR="00A77B3E" w:rsidRDefault="00A77B3E">
      <w:pPr>
        <w:spacing w:before="100"/>
        <w:rPr>
          <w:color w:val="000000"/>
        </w:rPr>
      </w:pPr>
    </w:p>
    <w:p w14:paraId="48805E11" w14:textId="77777777" w:rsidR="00A77B3E" w:rsidRDefault="00000000">
      <w:pPr>
        <w:pStyle w:val="Heading5"/>
        <w:spacing w:before="100" w:after="0"/>
        <w:rPr>
          <w:b w:val="0"/>
          <w:i w:val="0"/>
          <w:color w:val="000000"/>
          <w:sz w:val="24"/>
        </w:rPr>
      </w:pPr>
      <w:bookmarkStart w:id="45" w:name="_Toc256000202"/>
      <w:r>
        <w:rPr>
          <w:b w:val="0"/>
          <w:i w:val="0"/>
          <w:color w:val="000000"/>
          <w:sz w:val="24"/>
        </w:rPr>
        <w:t>Indication of the specific territories targeted, including the planned use of territorial tools – point (d)(v) of Article 22(3) CPR</w:t>
      </w:r>
      <w:bookmarkEnd w:id="45"/>
    </w:p>
    <w:p w14:paraId="7FA58CE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369307B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1BC594" w14:textId="77777777" w:rsidR="00A77B3E" w:rsidRDefault="00A77B3E">
            <w:pPr>
              <w:spacing w:before="100"/>
              <w:rPr>
                <w:color w:val="000000"/>
                <w:sz w:val="0"/>
              </w:rPr>
            </w:pPr>
          </w:p>
          <w:p w14:paraId="7D7766D9" w14:textId="77777777" w:rsidR="00A77B3E" w:rsidRDefault="00000000">
            <w:pPr>
              <w:spacing w:before="100"/>
              <w:rPr>
                <w:color w:val="000000"/>
              </w:rPr>
            </w:pPr>
            <w:r>
              <w:rPr>
                <w:color w:val="000000"/>
              </w:rPr>
              <w:t xml:space="preserve">Supported actions will take place throughout the two NUT2 regions in the </w:t>
            </w:r>
            <w:proofErr w:type="spellStart"/>
            <w:r>
              <w:rPr>
                <w:color w:val="000000"/>
              </w:rPr>
              <w:t>programme</w:t>
            </w:r>
            <w:proofErr w:type="spellEnd"/>
            <w:r>
              <w:rPr>
                <w:color w:val="000000"/>
              </w:rPr>
              <w:t xml:space="preserve"> area. No territorial tools will be used under this specific objective. </w:t>
            </w:r>
          </w:p>
          <w:p w14:paraId="68B199DA" w14:textId="77777777" w:rsidR="00A77B3E" w:rsidRDefault="00A77B3E">
            <w:pPr>
              <w:spacing w:before="100"/>
              <w:rPr>
                <w:color w:val="000000"/>
                <w:sz w:val="6"/>
              </w:rPr>
            </w:pPr>
          </w:p>
          <w:p w14:paraId="00682654" w14:textId="77777777" w:rsidR="00A77B3E" w:rsidRDefault="00A77B3E">
            <w:pPr>
              <w:spacing w:before="100"/>
              <w:rPr>
                <w:color w:val="000000"/>
                <w:sz w:val="6"/>
              </w:rPr>
            </w:pPr>
          </w:p>
        </w:tc>
      </w:tr>
    </w:tbl>
    <w:p w14:paraId="419C7903" w14:textId="77777777" w:rsidR="00A77B3E" w:rsidRDefault="00A77B3E">
      <w:pPr>
        <w:spacing w:before="100"/>
        <w:rPr>
          <w:color w:val="000000"/>
        </w:rPr>
      </w:pPr>
    </w:p>
    <w:p w14:paraId="2ADB356B" w14:textId="77777777" w:rsidR="00A77B3E" w:rsidRDefault="00000000">
      <w:pPr>
        <w:pStyle w:val="Heading5"/>
        <w:spacing w:before="100" w:after="0"/>
        <w:rPr>
          <w:b w:val="0"/>
          <w:i w:val="0"/>
          <w:color w:val="000000"/>
          <w:sz w:val="24"/>
        </w:rPr>
      </w:pPr>
      <w:bookmarkStart w:id="46" w:name="_Toc256000203"/>
      <w:r>
        <w:rPr>
          <w:b w:val="0"/>
          <w:i w:val="0"/>
          <w:color w:val="000000"/>
          <w:sz w:val="24"/>
        </w:rPr>
        <w:t>The interregional, cross-border and transnational actions – point (d)(vi) of Article 22(3) CPR</w:t>
      </w:r>
      <w:bookmarkEnd w:id="46"/>
    </w:p>
    <w:p w14:paraId="369D0EB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3AB422D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4AF300" w14:textId="77777777" w:rsidR="00A77B3E" w:rsidRDefault="00A77B3E">
            <w:pPr>
              <w:spacing w:before="100"/>
              <w:rPr>
                <w:color w:val="000000"/>
                <w:sz w:val="0"/>
              </w:rPr>
            </w:pPr>
          </w:p>
          <w:p w14:paraId="50592363" w14:textId="77777777" w:rsidR="00A77B3E" w:rsidRDefault="00000000">
            <w:pPr>
              <w:spacing w:before="100"/>
              <w:rPr>
                <w:color w:val="000000"/>
              </w:rPr>
            </w:pPr>
            <w:r>
              <w:rPr>
                <w:color w:val="000000"/>
              </w:rPr>
              <w:t>The design, implementation and evaluation of Action RSO2.1.1 provide significant opportunities for interregional, cross-border and transnational learning and collaborative projects. Action RSO2.1.1 can build on learning from current Interreg projects, for example the Interreg Europe EMPOWER project, and it will create opportunities for new transnational projects under Interreg and other EU programmes.</w:t>
            </w:r>
          </w:p>
          <w:p w14:paraId="06AF6562" w14:textId="77777777" w:rsidR="00A77B3E" w:rsidRDefault="00A77B3E">
            <w:pPr>
              <w:spacing w:before="100"/>
              <w:rPr>
                <w:color w:val="000000"/>
              </w:rPr>
            </w:pPr>
          </w:p>
          <w:p w14:paraId="11D120F8" w14:textId="77777777" w:rsidR="00A77B3E" w:rsidRDefault="00000000">
            <w:pPr>
              <w:spacing w:before="100"/>
              <w:rPr>
                <w:color w:val="000000"/>
              </w:rPr>
            </w:pPr>
            <w:r>
              <w:rPr>
                <w:color w:val="000000"/>
              </w:rPr>
              <w:t>The Managing Authority will be working with key actors at local, regional and national level, including SEAI. SEAI is the EU Horizon 2020 national delegate for Societal Challenge 3 – Secure, Clean &amp; Efficient Energy where their role is to identify research priorities in Europe and also represent Ireland at international fora, including the Energy Agency, EU and the United Nations Framework Convention on Climate Change (UNFCCC). This opens up opportunities to collaborate with these actors on a range of design, implementation and evaluation activities and to promote the adoption of the latest advances in green and digital technology.</w:t>
            </w:r>
          </w:p>
          <w:p w14:paraId="1EEA7EB2" w14:textId="77777777" w:rsidR="00A77B3E" w:rsidRDefault="00A77B3E">
            <w:pPr>
              <w:spacing w:before="100"/>
              <w:rPr>
                <w:color w:val="000000"/>
                <w:sz w:val="6"/>
              </w:rPr>
            </w:pPr>
          </w:p>
          <w:p w14:paraId="250B39C6" w14:textId="77777777" w:rsidR="00A77B3E" w:rsidRDefault="00A77B3E">
            <w:pPr>
              <w:spacing w:before="100"/>
              <w:rPr>
                <w:color w:val="000000"/>
                <w:sz w:val="6"/>
              </w:rPr>
            </w:pPr>
          </w:p>
        </w:tc>
      </w:tr>
    </w:tbl>
    <w:p w14:paraId="2BAA727F" w14:textId="77777777" w:rsidR="00A77B3E" w:rsidRDefault="00A77B3E">
      <w:pPr>
        <w:spacing w:before="100"/>
        <w:rPr>
          <w:color w:val="000000"/>
        </w:rPr>
      </w:pPr>
    </w:p>
    <w:p w14:paraId="44F72F6E" w14:textId="77777777" w:rsidR="00A77B3E" w:rsidRDefault="00000000">
      <w:pPr>
        <w:pStyle w:val="Heading5"/>
        <w:spacing w:before="100" w:after="0"/>
        <w:rPr>
          <w:b w:val="0"/>
          <w:i w:val="0"/>
          <w:color w:val="000000"/>
          <w:sz w:val="24"/>
        </w:rPr>
      </w:pPr>
      <w:bookmarkStart w:id="47" w:name="_Toc256000204"/>
      <w:r>
        <w:rPr>
          <w:b w:val="0"/>
          <w:i w:val="0"/>
          <w:color w:val="000000"/>
          <w:sz w:val="24"/>
        </w:rPr>
        <w:lastRenderedPageBreak/>
        <w:t>The planned use of financial instruments – point (d)(vii) of Article 22(3) CPR</w:t>
      </w:r>
      <w:bookmarkEnd w:id="47"/>
    </w:p>
    <w:p w14:paraId="59E358C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5C27111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D12DD3" w14:textId="77777777" w:rsidR="00A77B3E" w:rsidRDefault="00A77B3E">
            <w:pPr>
              <w:spacing w:before="100"/>
              <w:rPr>
                <w:color w:val="000000"/>
                <w:sz w:val="0"/>
              </w:rPr>
            </w:pPr>
          </w:p>
          <w:p w14:paraId="50D7AA3A" w14:textId="77777777" w:rsidR="00A77B3E" w:rsidRDefault="00000000">
            <w:pPr>
              <w:spacing w:before="100"/>
              <w:rPr>
                <w:color w:val="000000"/>
              </w:rPr>
            </w:pPr>
            <w:r>
              <w:rPr>
                <w:color w:val="000000"/>
              </w:rPr>
              <w:t>The selected form of support is grants. While financial instruments can be used to make comprehensive home energy efficiency upgrades more affordable to middle- and high-income households and noncorporate landlords, this form of support is not considered suitable for low-income households at risk of energy poverty. Government policy is to provide free home energy upgrades for this category of homeowner.</w:t>
            </w:r>
          </w:p>
          <w:p w14:paraId="7CAA6436" w14:textId="77777777" w:rsidR="00A77B3E" w:rsidRDefault="00A77B3E">
            <w:pPr>
              <w:spacing w:before="100"/>
              <w:rPr>
                <w:color w:val="000000"/>
                <w:sz w:val="6"/>
              </w:rPr>
            </w:pPr>
          </w:p>
          <w:p w14:paraId="2FD3671A" w14:textId="77777777" w:rsidR="00A77B3E" w:rsidRDefault="00A77B3E">
            <w:pPr>
              <w:spacing w:before="100"/>
              <w:rPr>
                <w:color w:val="000000"/>
                <w:sz w:val="6"/>
              </w:rPr>
            </w:pPr>
          </w:p>
        </w:tc>
      </w:tr>
    </w:tbl>
    <w:p w14:paraId="61C82FA5" w14:textId="77777777" w:rsidR="00A77B3E" w:rsidRDefault="00A77B3E">
      <w:pPr>
        <w:spacing w:before="100"/>
        <w:rPr>
          <w:color w:val="000000"/>
        </w:rPr>
      </w:pPr>
    </w:p>
    <w:p w14:paraId="57D8A9ED" w14:textId="77777777" w:rsidR="00A77B3E" w:rsidRDefault="00000000">
      <w:pPr>
        <w:pStyle w:val="Heading4"/>
        <w:spacing w:before="100" w:after="0"/>
        <w:rPr>
          <w:b w:val="0"/>
          <w:color w:val="000000"/>
          <w:sz w:val="24"/>
        </w:rPr>
      </w:pPr>
      <w:bookmarkStart w:id="48" w:name="_Toc256000205"/>
      <w:r>
        <w:rPr>
          <w:b w:val="0"/>
          <w:color w:val="000000"/>
          <w:sz w:val="24"/>
        </w:rPr>
        <w:t>2.1.1.1.2. Indicators</w:t>
      </w:r>
      <w:bookmarkEnd w:id="48"/>
    </w:p>
    <w:p w14:paraId="2DFBD2E6" w14:textId="77777777" w:rsidR="00A77B3E" w:rsidRDefault="00A77B3E">
      <w:pPr>
        <w:spacing w:before="100"/>
        <w:rPr>
          <w:color w:val="000000"/>
          <w:sz w:val="0"/>
        </w:rPr>
      </w:pPr>
    </w:p>
    <w:p w14:paraId="30D68750" w14:textId="77777777" w:rsidR="00A77B3E" w:rsidRDefault="00000000">
      <w:pPr>
        <w:spacing w:before="100"/>
        <w:rPr>
          <w:color w:val="000000"/>
          <w:sz w:val="0"/>
        </w:rPr>
      </w:pPr>
      <w:r>
        <w:rPr>
          <w:color w:val="000000"/>
        </w:rPr>
        <w:t>Reference: point (d)(ii) of Article 22(3) CPR and Article 8 ERDF and CF Regulation</w:t>
      </w:r>
    </w:p>
    <w:p w14:paraId="3111E606" w14:textId="77777777" w:rsidR="00A77B3E" w:rsidRDefault="00000000">
      <w:pPr>
        <w:pStyle w:val="Heading5"/>
        <w:spacing w:before="100" w:after="0"/>
        <w:rPr>
          <w:b w:val="0"/>
          <w:i w:val="0"/>
          <w:color w:val="000000"/>
          <w:sz w:val="24"/>
        </w:rPr>
      </w:pPr>
      <w:bookmarkStart w:id="49" w:name="_Toc256000206"/>
      <w:r>
        <w:rPr>
          <w:b w:val="0"/>
          <w:i w:val="0"/>
          <w:color w:val="000000"/>
          <w:sz w:val="24"/>
        </w:rPr>
        <w:t>Table 2: Output indicators</w:t>
      </w:r>
      <w:bookmarkEnd w:id="49"/>
    </w:p>
    <w:p w14:paraId="16B2457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522"/>
        <w:gridCol w:w="632"/>
        <w:gridCol w:w="1595"/>
        <w:gridCol w:w="732"/>
        <w:gridCol w:w="5728"/>
        <w:gridCol w:w="1551"/>
        <w:gridCol w:w="1474"/>
        <w:gridCol w:w="1205"/>
      </w:tblGrid>
      <w:tr w:rsidR="00B82D50" w14:paraId="5317E77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20363B"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CD5843"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BFF296"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CA1BDE"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9BD00A"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88F8E8"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C1BDFD"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A2675B" w14:textId="77777777" w:rsidR="00A77B3E" w:rsidRDefault="00000000">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563DCBC" w14:textId="77777777" w:rsidR="00A77B3E" w:rsidRDefault="00000000">
            <w:pPr>
              <w:spacing w:before="100"/>
              <w:jc w:val="center"/>
              <w:rPr>
                <w:color w:val="000000"/>
                <w:sz w:val="20"/>
              </w:rPr>
            </w:pPr>
            <w:r>
              <w:rPr>
                <w:color w:val="000000"/>
                <w:sz w:val="20"/>
              </w:rPr>
              <w:t>Target (2029)</w:t>
            </w:r>
          </w:p>
        </w:tc>
      </w:tr>
      <w:tr w:rsidR="00B82D50" w14:paraId="2DC2F5A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18CCC0"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73C4E1"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54D17F"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F59C0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6F766F" w14:textId="77777777" w:rsidR="00A77B3E" w:rsidRDefault="00000000">
            <w:pPr>
              <w:spacing w:before="100"/>
              <w:rPr>
                <w:color w:val="000000"/>
                <w:sz w:val="20"/>
              </w:rPr>
            </w:pPr>
            <w:r>
              <w:rPr>
                <w:color w:val="000000"/>
                <w:sz w:val="20"/>
              </w:rPr>
              <w:t>RCO18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1F5B84" w14:textId="77777777" w:rsidR="00A77B3E" w:rsidRDefault="00000000">
            <w:pPr>
              <w:spacing w:before="100"/>
              <w:rPr>
                <w:color w:val="000000"/>
                <w:sz w:val="20"/>
              </w:rPr>
            </w:pPr>
            <w:r>
              <w:rPr>
                <w:color w:val="000000"/>
                <w:sz w:val="20"/>
              </w:rPr>
              <w:t>Affordable and sustainable dwellings with improved energy performance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068C9B" w14:textId="77777777" w:rsidR="00A77B3E" w:rsidRDefault="00000000">
            <w:pPr>
              <w:spacing w:before="100"/>
              <w:rPr>
                <w:color w:val="000000"/>
                <w:sz w:val="20"/>
              </w:rPr>
            </w:pPr>
            <w:r>
              <w:rPr>
                <w:color w:val="000000"/>
                <w:sz w:val="20"/>
              </w:rPr>
              <w:t>dwellings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4CCBE2" w14:textId="77777777" w:rsidR="00A77B3E" w:rsidRDefault="00000000">
            <w:pPr>
              <w:spacing w:before="100"/>
              <w:jc w:val="right"/>
              <w:rPr>
                <w:color w:val="000000"/>
                <w:sz w:val="20"/>
              </w:rPr>
            </w:pPr>
            <w:r>
              <w:rPr>
                <w:color w:val="000000"/>
                <w:sz w:val="20"/>
              </w:rPr>
              <w:t>788.00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367211" w14:textId="77777777" w:rsidR="00A77B3E" w:rsidRDefault="00000000">
            <w:pPr>
              <w:spacing w:before="100"/>
              <w:jc w:val="right"/>
              <w:rPr>
                <w:color w:val="000000"/>
                <w:sz w:val="20"/>
              </w:rPr>
            </w:pPr>
            <w:r>
              <w:rPr>
                <w:color w:val="000000"/>
                <w:sz w:val="20"/>
              </w:rPr>
              <w:t>3,942.00</w:t>
            </w:r>
          </w:p>
        </w:tc>
      </w:tr>
    </w:tbl>
    <w:p w14:paraId="2B55FA48" w14:textId="77777777" w:rsidR="00A77B3E" w:rsidRDefault="00A77B3E">
      <w:pPr>
        <w:spacing w:before="100"/>
        <w:rPr>
          <w:color w:val="000000"/>
          <w:sz w:val="20"/>
        </w:rPr>
      </w:pPr>
    </w:p>
    <w:p w14:paraId="1C6F5900" w14:textId="77777777" w:rsidR="00A77B3E" w:rsidRDefault="00000000">
      <w:pPr>
        <w:spacing w:before="100"/>
        <w:rPr>
          <w:color w:val="000000"/>
          <w:sz w:val="0"/>
        </w:rPr>
      </w:pPr>
      <w:r>
        <w:rPr>
          <w:color w:val="000000"/>
        </w:rPr>
        <w:t>Reference: point (d)(ii) of Article 22(3) CPR</w:t>
      </w:r>
    </w:p>
    <w:p w14:paraId="76B61B5B" w14:textId="77777777" w:rsidR="00A77B3E" w:rsidRDefault="00000000">
      <w:pPr>
        <w:pStyle w:val="Heading5"/>
        <w:spacing w:before="100" w:after="0"/>
        <w:rPr>
          <w:b w:val="0"/>
          <w:i w:val="0"/>
          <w:color w:val="000000"/>
          <w:sz w:val="24"/>
        </w:rPr>
      </w:pPr>
      <w:bookmarkStart w:id="50" w:name="_Toc256000207"/>
      <w:r>
        <w:rPr>
          <w:b w:val="0"/>
          <w:i w:val="0"/>
          <w:color w:val="000000"/>
          <w:sz w:val="24"/>
        </w:rPr>
        <w:t>Table 3: Result indicators</w:t>
      </w:r>
      <w:bookmarkEnd w:id="50"/>
    </w:p>
    <w:p w14:paraId="4344616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007"/>
        <w:gridCol w:w="632"/>
        <w:gridCol w:w="1092"/>
        <w:gridCol w:w="721"/>
        <w:gridCol w:w="3047"/>
        <w:gridCol w:w="1329"/>
        <w:gridCol w:w="1299"/>
        <w:gridCol w:w="1026"/>
        <w:gridCol w:w="987"/>
        <w:gridCol w:w="806"/>
        <w:gridCol w:w="2494"/>
      </w:tblGrid>
      <w:tr w:rsidR="00B82D50" w14:paraId="32F8286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598343"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0D68D2"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7B2511"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49E2C6"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8DD1D1"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B743EC"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B59E75"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8CD3BB" w14:textId="77777777" w:rsidR="00A77B3E" w:rsidRDefault="00000000">
            <w:pPr>
              <w:spacing w:before="100"/>
              <w:jc w:val="center"/>
              <w:rPr>
                <w:color w:val="000000"/>
                <w:sz w:val="20"/>
              </w:rPr>
            </w:pPr>
            <w:r>
              <w:rPr>
                <w:color w:val="000000"/>
                <w:sz w:val="20"/>
              </w:rPr>
              <w:t>Baseline or reference value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A395FC" w14:textId="77777777" w:rsidR="00A77B3E" w:rsidRDefault="00000000">
            <w:pPr>
              <w:spacing w:before="100"/>
              <w:jc w:val="center"/>
              <w:rPr>
                <w:color w:val="000000"/>
                <w:sz w:val="20"/>
              </w:rPr>
            </w:pPr>
            <w:r>
              <w:rPr>
                <w:color w:val="000000"/>
                <w:sz w:val="20"/>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BDB17F" w14:textId="77777777" w:rsidR="00A77B3E" w:rsidRDefault="00000000">
            <w:pPr>
              <w:spacing w:before="100"/>
              <w:jc w:val="center"/>
              <w:rPr>
                <w:color w:val="000000"/>
                <w:sz w:val="20"/>
              </w:rPr>
            </w:pPr>
            <w:r>
              <w:rPr>
                <w:color w:val="000000"/>
                <w:sz w:val="20"/>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4F43E2" w14:textId="77777777" w:rsidR="00A77B3E" w:rsidRDefault="00000000">
            <w:pPr>
              <w:spacing w:before="100"/>
              <w:jc w:val="center"/>
              <w:rPr>
                <w:color w:val="000000"/>
                <w:sz w:val="20"/>
              </w:rPr>
            </w:pPr>
            <w:r>
              <w:rPr>
                <w:color w:val="000000"/>
                <w:sz w:val="20"/>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EBFA8F" w14:textId="77777777" w:rsidR="00A77B3E" w:rsidRDefault="00000000">
            <w:pPr>
              <w:spacing w:before="100"/>
              <w:jc w:val="center"/>
              <w:rPr>
                <w:color w:val="000000"/>
                <w:sz w:val="20"/>
              </w:rPr>
            </w:pPr>
            <w:r>
              <w:rPr>
                <w:color w:val="000000"/>
                <w:sz w:val="20"/>
              </w:rPr>
              <w:t>Comments</w:t>
            </w:r>
          </w:p>
        </w:tc>
      </w:tr>
      <w:tr w:rsidR="00B82D50" w14:paraId="0F0C63B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32B2FC"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0956E6"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577804"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A40FB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FBA64A" w14:textId="77777777" w:rsidR="00A77B3E" w:rsidRDefault="00000000">
            <w:pPr>
              <w:spacing w:before="100"/>
              <w:rPr>
                <w:color w:val="000000"/>
                <w:sz w:val="20"/>
              </w:rPr>
            </w:pPr>
            <w:r>
              <w:rPr>
                <w:color w:val="000000"/>
                <w:sz w:val="20"/>
              </w:rPr>
              <w:t>RCR26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27314F" w14:textId="77777777" w:rsidR="00A77B3E" w:rsidRDefault="00000000">
            <w:pPr>
              <w:spacing w:before="100"/>
              <w:rPr>
                <w:color w:val="000000"/>
                <w:sz w:val="20"/>
              </w:rPr>
            </w:pPr>
            <w:r>
              <w:rPr>
                <w:color w:val="000000"/>
                <w:sz w:val="20"/>
              </w:rPr>
              <w:t>Annual primary energy consumption (of which: affordable and sustainable dwellings, public buildings, enterprises, other)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9B8808" w14:textId="77777777" w:rsidR="00A77B3E" w:rsidRDefault="00000000">
            <w:pPr>
              <w:spacing w:before="100"/>
              <w:rPr>
                <w:color w:val="000000"/>
                <w:sz w:val="20"/>
              </w:rPr>
            </w:pPr>
            <w:r>
              <w:rPr>
                <w:color w:val="000000"/>
                <w:sz w:val="20"/>
              </w:rPr>
              <w:t>MWh/year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BE56C5" w14:textId="77777777" w:rsidR="00A77B3E" w:rsidRDefault="00000000">
            <w:pPr>
              <w:spacing w:before="100"/>
              <w:jc w:val="right"/>
              <w:rPr>
                <w:color w:val="000000"/>
                <w:sz w:val="20"/>
              </w:rPr>
            </w:pPr>
            <w:r>
              <w:rPr>
                <w:color w:val="000000"/>
                <w:sz w:val="20"/>
              </w:rPr>
              <w:t>149,741.00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13C8CA" w14:textId="77777777" w:rsidR="00A77B3E" w:rsidRDefault="00000000">
            <w:pPr>
              <w:spacing w:before="100"/>
              <w:jc w:val="center"/>
              <w:rPr>
                <w:color w:val="000000"/>
                <w:sz w:val="20"/>
              </w:rPr>
            </w:pPr>
            <w:r>
              <w:rPr>
                <w:color w:val="000000"/>
                <w:sz w:val="20"/>
              </w:rPr>
              <w:t>2019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0AC5BA" w14:textId="77777777" w:rsidR="00A77B3E" w:rsidRDefault="00000000">
            <w:pPr>
              <w:spacing w:before="100"/>
              <w:jc w:val="right"/>
              <w:rPr>
                <w:color w:val="000000"/>
                <w:sz w:val="20"/>
              </w:rPr>
            </w:pPr>
            <w:r>
              <w:rPr>
                <w:color w:val="000000"/>
                <w:sz w:val="20"/>
              </w:rPr>
              <w:t>85,500.00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5029F6" w14:textId="77777777" w:rsidR="00A77B3E" w:rsidRDefault="00000000">
            <w:pPr>
              <w:spacing w:before="100"/>
              <w:rPr>
                <w:color w:val="000000"/>
                <w:sz w:val="20"/>
              </w:rPr>
            </w:pPr>
            <w:r>
              <w:rPr>
                <w:color w:val="000000"/>
                <w:sz w:val="20"/>
              </w:rPr>
              <w:t>SEAI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66C7D0" w14:textId="77777777" w:rsidR="00A77B3E" w:rsidRDefault="00000000">
            <w:pPr>
              <w:spacing w:before="100"/>
              <w:rPr>
                <w:color w:val="000000"/>
                <w:sz w:val="20"/>
              </w:rPr>
            </w:pPr>
            <w:r>
              <w:rPr>
                <w:color w:val="000000"/>
                <w:sz w:val="20"/>
              </w:rPr>
              <w:t>Savings are estimated on the basis of calculated EPC (BER) values for both baseline and savings.</w:t>
            </w:r>
          </w:p>
        </w:tc>
      </w:tr>
      <w:tr w:rsidR="00B82D50" w14:paraId="71AE55B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5AEFCC"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AE5068"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4F83D2"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80C13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804D98" w14:textId="77777777" w:rsidR="00A77B3E" w:rsidRDefault="00000000">
            <w:pPr>
              <w:spacing w:before="100"/>
              <w:rPr>
                <w:color w:val="000000"/>
                <w:sz w:val="20"/>
              </w:rPr>
            </w:pPr>
            <w:r>
              <w:rPr>
                <w:color w:val="000000"/>
                <w:sz w:val="20"/>
              </w:rPr>
              <w:t>RCR29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2D7D22" w14:textId="77777777" w:rsidR="00A77B3E" w:rsidRDefault="00000000">
            <w:pPr>
              <w:spacing w:before="100"/>
              <w:rPr>
                <w:color w:val="000000"/>
                <w:sz w:val="20"/>
              </w:rPr>
            </w:pPr>
            <w:r>
              <w:rPr>
                <w:color w:val="000000"/>
                <w:sz w:val="20"/>
              </w:rPr>
              <w:t>Estimated greenhouse emissions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26750B" w14:textId="77777777" w:rsidR="00A77B3E" w:rsidRDefault="00000000">
            <w:pPr>
              <w:spacing w:before="100"/>
              <w:rPr>
                <w:color w:val="000000"/>
                <w:sz w:val="20"/>
              </w:rPr>
            </w:pPr>
            <w:proofErr w:type="spellStart"/>
            <w:r>
              <w:rPr>
                <w:color w:val="000000"/>
                <w:sz w:val="20"/>
              </w:rPr>
              <w:t>tonnes</w:t>
            </w:r>
            <w:proofErr w:type="spellEnd"/>
            <w:r>
              <w:rPr>
                <w:color w:val="000000"/>
                <w:sz w:val="20"/>
              </w:rPr>
              <w:t xml:space="preserve"> CO2 eq./year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64EBDA" w14:textId="77777777" w:rsidR="00A77B3E" w:rsidRDefault="00000000">
            <w:pPr>
              <w:spacing w:before="100"/>
              <w:jc w:val="right"/>
              <w:rPr>
                <w:color w:val="000000"/>
                <w:sz w:val="20"/>
              </w:rPr>
            </w:pPr>
            <w:r>
              <w:rPr>
                <w:color w:val="000000"/>
                <w:sz w:val="20"/>
              </w:rPr>
              <w:t>32,043.00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B907A0" w14:textId="77777777" w:rsidR="00A77B3E" w:rsidRDefault="00000000">
            <w:pPr>
              <w:spacing w:before="100"/>
              <w:jc w:val="center"/>
              <w:rPr>
                <w:color w:val="000000"/>
                <w:sz w:val="20"/>
              </w:rPr>
            </w:pPr>
            <w:r>
              <w:rPr>
                <w:color w:val="000000"/>
                <w:sz w:val="20"/>
              </w:rPr>
              <w:t>2019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6661A9" w14:textId="77777777" w:rsidR="00A77B3E" w:rsidRDefault="00000000">
            <w:pPr>
              <w:spacing w:before="100"/>
              <w:jc w:val="right"/>
              <w:rPr>
                <w:color w:val="000000"/>
                <w:sz w:val="20"/>
              </w:rPr>
            </w:pPr>
            <w:r>
              <w:rPr>
                <w:color w:val="000000"/>
                <w:sz w:val="20"/>
              </w:rPr>
              <w:t>18,542.00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BD76BF" w14:textId="77777777" w:rsidR="00A77B3E" w:rsidRDefault="00000000">
            <w:pPr>
              <w:spacing w:before="100"/>
              <w:rPr>
                <w:color w:val="000000"/>
                <w:sz w:val="20"/>
              </w:rPr>
            </w:pPr>
            <w:r>
              <w:rPr>
                <w:color w:val="000000"/>
                <w:sz w:val="20"/>
              </w:rPr>
              <w:t>SEAI</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815BE0" w14:textId="77777777" w:rsidR="00A77B3E" w:rsidRDefault="00A77B3E">
            <w:pPr>
              <w:spacing w:before="100"/>
              <w:rPr>
                <w:color w:val="000000"/>
                <w:sz w:val="20"/>
              </w:rPr>
            </w:pPr>
          </w:p>
        </w:tc>
      </w:tr>
    </w:tbl>
    <w:p w14:paraId="481B80A2" w14:textId="77777777" w:rsidR="00A77B3E" w:rsidRDefault="00A77B3E">
      <w:pPr>
        <w:spacing w:before="100"/>
        <w:rPr>
          <w:color w:val="000000"/>
          <w:sz w:val="20"/>
        </w:rPr>
      </w:pPr>
    </w:p>
    <w:p w14:paraId="6222AC61" w14:textId="77777777" w:rsidR="00A77B3E" w:rsidRDefault="00000000">
      <w:pPr>
        <w:pStyle w:val="Heading4"/>
        <w:spacing w:before="100" w:after="0"/>
        <w:rPr>
          <w:b w:val="0"/>
          <w:color w:val="000000"/>
          <w:sz w:val="24"/>
        </w:rPr>
      </w:pPr>
      <w:bookmarkStart w:id="51" w:name="_Toc256000208"/>
      <w:r>
        <w:rPr>
          <w:b w:val="0"/>
          <w:color w:val="000000"/>
          <w:sz w:val="24"/>
        </w:rPr>
        <w:t>2.1.1.1.3. Indicative breakdown of the programmed resources (EU) by type of intervention</w:t>
      </w:r>
      <w:bookmarkEnd w:id="51"/>
    </w:p>
    <w:p w14:paraId="673BE3CC" w14:textId="77777777" w:rsidR="00A77B3E" w:rsidRDefault="00A77B3E">
      <w:pPr>
        <w:spacing w:before="100"/>
        <w:rPr>
          <w:color w:val="000000"/>
          <w:sz w:val="0"/>
        </w:rPr>
      </w:pPr>
    </w:p>
    <w:p w14:paraId="7F9EEBC9" w14:textId="77777777" w:rsidR="00A77B3E" w:rsidRDefault="00000000">
      <w:pPr>
        <w:spacing w:before="100"/>
        <w:rPr>
          <w:color w:val="000000"/>
          <w:sz w:val="0"/>
        </w:rPr>
      </w:pPr>
      <w:r>
        <w:rPr>
          <w:color w:val="000000"/>
        </w:rPr>
        <w:t>Reference: point (d)(viii) of Article 22(3) CPR</w:t>
      </w:r>
    </w:p>
    <w:p w14:paraId="0EC886B1" w14:textId="77777777" w:rsidR="00A77B3E" w:rsidRDefault="00000000">
      <w:pPr>
        <w:pStyle w:val="Heading5"/>
        <w:spacing w:before="100" w:after="0"/>
        <w:rPr>
          <w:b w:val="0"/>
          <w:i w:val="0"/>
          <w:color w:val="000000"/>
          <w:sz w:val="24"/>
        </w:rPr>
      </w:pPr>
      <w:bookmarkStart w:id="52" w:name="_Toc256000209"/>
      <w:r>
        <w:rPr>
          <w:b w:val="0"/>
          <w:i w:val="0"/>
          <w:color w:val="000000"/>
          <w:sz w:val="24"/>
        </w:rPr>
        <w:t>Table 4: Dimension 1 - intervention field</w:t>
      </w:r>
      <w:bookmarkEnd w:id="52"/>
    </w:p>
    <w:p w14:paraId="3DE3F3C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393"/>
        <w:gridCol w:w="632"/>
        <w:gridCol w:w="1468"/>
        <w:gridCol w:w="9609"/>
        <w:gridCol w:w="1338"/>
      </w:tblGrid>
      <w:tr w:rsidR="00B82D50" w14:paraId="7861EC0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0B7A45"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5EA1A0"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56B5B02"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8F1427"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04C707"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542D7D" w14:textId="77777777" w:rsidR="00A77B3E" w:rsidRDefault="00000000">
            <w:pPr>
              <w:spacing w:before="100"/>
              <w:jc w:val="center"/>
              <w:rPr>
                <w:color w:val="000000"/>
                <w:sz w:val="20"/>
              </w:rPr>
            </w:pPr>
            <w:r>
              <w:rPr>
                <w:color w:val="000000"/>
                <w:sz w:val="20"/>
              </w:rPr>
              <w:t>Amount (EUR)</w:t>
            </w:r>
          </w:p>
        </w:tc>
      </w:tr>
      <w:tr w:rsidR="00B82D50" w14:paraId="06A8350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A7A2CD"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1D7468"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077CC5"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4A53E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80AF0F" w14:textId="77777777" w:rsidR="00A77B3E" w:rsidRDefault="00000000">
            <w:pPr>
              <w:spacing w:before="100"/>
              <w:rPr>
                <w:color w:val="000000"/>
                <w:sz w:val="20"/>
              </w:rPr>
            </w:pPr>
            <w:r>
              <w:rPr>
                <w:color w:val="000000"/>
                <w:sz w:val="20"/>
              </w:rPr>
              <w:t>042. Energy efficiency renovation of existing housing stock, demonstration projects and supporting measures compliant with energy efficiency criteria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C8C7DC" w14:textId="77777777" w:rsidR="00A77B3E" w:rsidRDefault="00000000">
            <w:pPr>
              <w:spacing w:before="100"/>
              <w:jc w:val="right"/>
              <w:rPr>
                <w:color w:val="000000"/>
                <w:sz w:val="20"/>
              </w:rPr>
            </w:pPr>
            <w:r>
              <w:rPr>
                <w:color w:val="000000"/>
                <w:sz w:val="20"/>
              </w:rPr>
              <w:t>79,643,250.00</w:t>
            </w:r>
          </w:p>
        </w:tc>
      </w:tr>
      <w:tr w:rsidR="00B82D50" w14:paraId="2803654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078C9B"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AA1D8F"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3CA52E"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99B253"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5AF81D"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ED41D6" w14:textId="77777777" w:rsidR="00A77B3E" w:rsidRDefault="00000000">
            <w:pPr>
              <w:spacing w:before="100"/>
              <w:jc w:val="right"/>
              <w:rPr>
                <w:color w:val="000000"/>
                <w:sz w:val="20"/>
              </w:rPr>
            </w:pPr>
            <w:r>
              <w:rPr>
                <w:color w:val="000000"/>
                <w:sz w:val="20"/>
              </w:rPr>
              <w:t>79,643,250.00</w:t>
            </w:r>
          </w:p>
        </w:tc>
      </w:tr>
    </w:tbl>
    <w:p w14:paraId="2551AAB7" w14:textId="77777777" w:rsidR="00A77B3E" w:rsidRDefault="00A77B3E">
      <w:pPr>
        <w:spacing w:before="100"/>
        <w:rPr>
          <w:color w:val="000000"/>
          <w:sz w:val="20"/>
        </w:rPr>
      </w:pPr>
    </w:p>
    <w:p w14:paraId="490EF85C" w14:textId="77777777" w:rsidR="00A77B3E" w:rsidRDefault="00000000">
      <w:pPr>
        <w:pStyle w:val="Heading5"/>
        <w:spacing w:before="100" w:after="0"/>
        <w:rPr>
          <w:b w:val="0"/>
          <w:i w:val="0"/>
          <w:color w:val="000000"/>
          <w:sz w:val="24"/>
        </w:rPr>
      </w:pPr>
      <w:bookmarkStart w:id="53" w:name="_Toc256000210"/>
      <w:r>
        <w:rPr>
          <w:b w:val="0"/>
          <w:i w:val="0"/>
          <w:color w:val="000000"/>
          <w:sz w:val="24"/>
        </w:rPr>
        <w:t>Table 5: Dimension 2 - form of financing</w:t>
      </w:r>
      <w:bookmarkEnd w:id="53"/>
    </w:p>
    <w:p w14:paraId="5E5ABF0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84"/>
        <w:gridCol w:w="1412"/>
        <w:gridCol w:w="3645"/>
        <w:gridCol w:w="1958"/>
        <w:gridCol w:w="3037"/>
      </w:tblGrid>
      <w:tr w:rsidR="00B82D50" w14:paraId="23539D7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5E848B"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0FBA02"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5FE60C"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0935F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695718"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3F1D4B" w14:textId="77777777" w:rsidR="00A77B3E" w:rsidRDefault="00000000">
            <w:pPr>
              <w:spacing w:before="100"/>
              <w:jc w:val="center"/>
              <w:rPr>
                <w:color w:val="000000"/>
                <w:sz w:val="20"/>
              </w:rPr>
            </w:pPr>
            <w:r>
              <w:rPr>
                <w:color w:val="000000"/>
                <w:sz w:val="20"/>
              </w:rPr>
              <w:t>Amount (EUR)</w:t>
            </w:r>
          </w:p>
        </w:tc>
      </w:tr>
      <w:tr w:rsidR="00B82D50" w14:paraId="5C0E750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CCA230"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7701FA"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9394EE"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C568BE"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502BA5" w14:textId="77777777" w:rsidR="00A77B3E" w:rsidRDefault="00000000">
            <w:pPr>
              <w:spacing w:before="100"/>
              <w:rPr>
                <w:color w:val="000000"/>
                <w:sz w:val="20"/>
              </w:rPr>
            </w:pPr>
            <w:r>
              <w:rPr>
                <w:color w:val="000000"/>
                <w:sz w:val="2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A744FC" w14:textId="77777777" w:rsidR="00A77B3E" w:rsidRDefault="00000000">
            <w:pPr>
              <w:spacing w:before="100"/>
              <w:jc w:val="right"/>
              <w:rPr>
                <w:color w:val="000000"/>
                <w:sz w:val="20"/>
              </w:rPr>
            </w:pPr>
            <w:r>
              <w:rPr>
                <w:color w:val="000000"/>
                <w:sz w:val="20"/>
              </w:rPr>
              <w:t>79,643,250.00</w:t>
            </w:r>
          </w:p>
        </w:tc>
      </w:tr>
      <w:tr w:rsidR="00B82D50" w14:paraId="6AF4AF1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AD5727"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F54E6E"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CEB4F2"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00595F"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1407E"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C3F758" w14:textId="77777777" w:rsidR="00A77B3E" w:rsidRDefault="00000000">
            <w:pPr>
              <w:spacing w:before="100"/>
              <w:jc w:val="right"/>
              <w:rPr>
                <w:color w:val="000000"/>
                <w:sz w:val="20"/>
              </w:rPr>
            </w:pPr>
            <w:r>
              <w:rPr>
                <w:color w:val="000000"/>
                <w:sz w:val="20"/>
              </w:rPr>
              <w:t>79,643,250.00</w:t>
            </w:r>
          </w:p>
        </w:tc>
      </w:tr>
    </w:tbl>
    <w:p w14:paraId="47ED7060" w14:textId="77777777" w:rsidR="00A77B3E" w:rsidRDefault="00A77B3E">
      <w:pPr>
        <w:spacing w:before="100"/>
        <w:rPr>
          <w:color w:val="000000"/>
          <w:sz w:val="20"/>
        </w:rPr>
      </w:pPr>
    </w:p>
    <w:p w14:paraId="7AFCF21B" w14:textId="77777777" w:rsidR="00A77B3E" w:rsidRDefault="00000000">
      <w:pPr>
        <w:pStyle w:val="Heading5"/>
        <w:spacing w:before="100" w:after="0"/>
        <w:rPr>
          <w:b w:val="0"/>
          <w:i w:val="0"/>
          <w:color w:val="000000"/>
          <w:sz w:val="24"/>
        </w:rPr>
      </w:pPr>
      <w:bookmarkStart w:id="54" w:name="_Toc256000211"/>
      <w:r>
        <w:rPr>
          <w:b w:val="0"/>
          <w:i w:val="0"/>
          <w:color w:val="000000"/>
          <w:sz w:val="24"/>
        </w:rPr>
        <w:t>Table 6: Dimension 3 – territorial delivery mechanism and territorial focus</w:t>
      </w:r>
      <w:bookmarkEnd w:id="54"/>
    </w:p>
    <w:p w14:paraId="54E0F0D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2422"/>
        <w:gridCol w:w="982"/>
        <w:gridCol w:w="2534"/>
        <w:gridCol w:w="5985"/>
        <w:gridCol w:w="2111"/>
      </w:tblGrid>
      <w:tr w:rsidR="00B82D50" w14:paraId="770B7D7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844BD6"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5E2183"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389774"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16F02B"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086FD9"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B7A396" w14:textId="77777777" w:rsidR="00A77B3E" w:rsidRDefault="00000000">
            <w:pPr>
              <w:spacing w:before="100"/>
              <w:jc w:val="center"/>
              <w:rPr>
                <w:color w:val="000000"/>
                <w:sz w:val="20"/>
              </w:rPr>
            </w:pPr>
            <w:r>
              <w:rPr>
                <w:color w:val="000000"/>
                <w:sz w:val="20"/>
              </w:rPr>
              <w:t>Amount (EUR)</w:t>
            </w:r>
          </w:p>
        </w:tc>
      </w:tr>
      <w:tr w:rsidR="00B82D50" w14:paraId="7F74228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D9457B"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4B2DEA"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2D469F"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FB08B8"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8A5536" w14:textId="77777777" w:rsidR="00A77B3E" w:rsidRDefault="00000000">
            <w:pPr>
              <w:spacing w:before="100"/>
              <w:rPr>
                <w:color w:val="000000"/>
                <w:sz w:val="20"/>
              </w:rPr>
            </w:pPr>
            <w:r>
              <w:rPr>
                <w:color w:val="000000"/>
                <w:sz w:val="20"/>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F3AE57" w14:textId="77777777" w:rsidR="00A77B3E" w:rsidRDefault="00000000">
            <w:pPr>
              <w:spacing w:before="100"/>
              <w:jc w:val="right"/>
              <w:rPr>
                <w:color w:val="000000"/>
                <w:sz w:val="20"/>
              </w:rPr>
            </w:pPr>
            <w:r>
              <w:rPr>
                <w:color w:val="000000"/>
                <w:sz w:val="20"/>
              </w:rPr>
              <w:t>79,643,250.00</w:t>
            </w:r>
          </w:p>
        </w:tc>
      </w:tr>
      <w:tr w:rsidR="00B82D50" w14:paraId="66B810C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5CCC70"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1BBE39"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5D933B"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E62876"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AAEB2C"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0CA239" w14:textId="77777777" w:rsidR="00A77B3E" w:rsidRDefault="00000000">
            <w:pPr>
              <w:spacing w:before="100"/>
              <w:jc w:val="right"/>
              <w:rPr>
                <w:color w:val="000000"/>
                <w:sz w:val="20"/>
              </w:rPr>
            </w:pPr>
            <w:r>
              <w:rPr>
                <w:color w:val="000000"/>
                <w:sz w:val="20"/>
              </w:rPr>
              <w:t>79,643,250.00</w:t>
            </w:r>
          </w:p>
        </w:tc>
      </w:tr>
    </w:tbl>
    <w:p w14:paraId="3E68018D" w14:textId="77777777" w:rsidR="00A77B3E" w:rsidRDefault="00A77B3E">
      <w:pPr>
        <w:spacing w:before="100"/>
        <w:rPr>
          <w:color w:val="000000"/>
          <w:sz w:val="20"/>
        </w:rPr>
      </w:pPr>
    </w:p>
    <w:p w14:paraId="3710499A" w14:textId="77777777" w:rsidR="00A77B3E" w:rsidRDefault="00000000">
      <w:pPr>
        <w:pStyle w:val="Heading5"/>
        <w:spacing w:before="100" w:after="0"/>
        <w:rPr>
          <w:b w:val="0"/>
          <w:i w:val="0"/>
          <w:color w:val="000000"/>
          <w:sz w:val="24"/>
        </w:rPr>
      </w:pPr>
      <w:bookmarkStart w:id="55" w:name="_Toc256000212"/>
      <w:r>
        <w:rPr>
          <w:b w:val="0"/>
          <w:i w:val="0"/>
          <w:color w:val="000000"/>
          <w:sz w:val="24"/>
        </w:rPr>
        <w:t>Table 7: Dimension 6 – ESF+ secondary themes</w:t>
      </w:r>
      <w:bookmarkEnd w:id="55"/>
    </w:p>
    <w:p w14:paraId="06E4687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21"/>
        <w:gridCol w:w="1270"/>
        <w:gridCol w:w="3893"/>
        <w:gridCol w:w="1296"/>
        <w:gridCol w:w="3244"/>
      </w:tblGrid>
      <w:tr w:rsidR="00B82D50" w14:paraId="0926678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87AC8B"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6F2FCC8"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D8458C"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F0CAE0"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A3C400"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AA2F88F" w14:textId="77777777" w:rsidR="00A77B3E" w:rsidRDefault="00000000">
            <w:pPr>
              <w:spacing w:before="100"/>
              <w:jc w:val="center"/>
              <w:rPr>
                <w:color w:val="000000"/>
                <w:sz w:val="20"/>
              </w:rPr>
            </w:pPr>
            <w:r>
              <w:rPr>
                <w:color w:val="000000"/>
                <w:sz w:val="20"/>
              </w:rPr>
              <w:t>Amount (EUR)</w:t>
            </w:r>
          </w:p>
        </w:tc>
      </w:tr>
    </w:tbl>
    <w:p w14:paraId="215DACBC" w14:textId="77777777" w:rsidR="00A77B3E" w:rsidRDefault="00A77B3E">
      <w:pPr>
        <w:spacing w:before="100"/>
        <w:rPr>
          <w:color w:val="000000"/>
          <w:sz w:val="20"/>
        </w:rPr>
      </w:pPr>
    </w:p>
    <w:p w14:paraId="21B87F37" w14:textId="77777777" w:rsidR="00A77B3E" w:rsidRDefault="00000000">
      <w:pPr>
        <w:pStyle w:val="Heading5"/>
        <w:spacing w:before="100" w:after="0"/>
        <w:rPr>
          <w:b w:val="0"/>
          <w:i w:val="0"/>
          <w:color w:val="000000"/>
          <w:sz w:val="24"/>
        </w:rPr>
      </w:pPr>
      <w:bookmarkStart w:id="56" w:name="_Toc256000213"/>
      <w:r>
        <w:rPr>
          <w:b w:val="0"/>
          <w:i w:val="0"/>
          <w:color w:val="000000"/>
          <w:sz w:val="24"/>
        </w:rPr>
        <w:t>Table 8: Dimension 7 – ESF+*, ERDF, Cohesion Fund and JTF gender equality dimension</w:t>
      </w:r>
      <w:bookmarkEnd w:id="56"/>
    </w:p>
    <w:p w14:paraId="3DF52F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3142"/>
        <w:gridCol w:w="1274"/>
        <w:gridCol w:w="3288"/>
        <w:gridCol w:w="3253"/>
        <w:gridCol w:w="2739"/>
      </w:tblGrid>
      <w:tr w:rsidR="00B82D50" w14:paraId="6D33329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296F9F"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ABE661"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B1D2E1"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F4090C"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0C0414"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052A42" w14:textId="77777777" w:rsidR="00A77B3E" w:rsidRDefault="00000000">
            <w:pPr>
              <w:spacing w:before="100"/>
              <w:jc w:val="center"/>
              <w:rPr>
                <w:color w:val="000000"/>
                <w:sz w:val="20"/>
              </w:rPr>
            </w:pPr>
            <w:r>
              <w:rPr>
                <w:color w:val="000000"/>
                <w:sz w:val="20"/>
              </w:rPr>
              <w:t>Amount (EUR)</w:t>
            </w:r>
          </w:p>
        </w:tc>
      </w:tr>
      <w:tr w:rsidR="00B82D50" w14:paraId="7C8FA579"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29AEFD"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2B06CA"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035EC"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115D99"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409FA2" w14:textId="77777777" w:rsidR="00A77B3E" w:rsidRDefault="00000000">
            <w:pPr>
              <w:spacing w:before="100"/>
              <w:rPr>
                <w:color w:val="000000"/>
                <w:sz w:val="20"/>
              </w:rPr>
            </w:pPr>
            <w:r>
              <w:rPr>
                <w:color w:val="000000"/>
                <w:sz w:val="20"/>
              </w:rPr>
              <w:t>03. Gender neutral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38D6A8" w14:textId="77777777" w:rsidR="00A77B3E" w:rsidRDefault="00000000">
            <w:pPr>
              <w:spacing w:before="100"/>
              <w:jc w:val="right"/>
              <w:rPr>
                <w:color w:val="000000"/>
                <w:sz w:val="20"/>
              </w:rPr>
            </w:pPr>
            <w:r>
              <w:rPr>
                <w:color w:val="000000"/>
                <w:sz w:val="20"/>
              </w:rPr>
              <w:t>79,643,250.00</w:t>
            </w:r>
          </w:p>
        </w:tc>
      </w:tr>
      <w:tr w:rsidR="00B82D50" w14:paraId="113EA06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CC06E0" w14:textId="77777777" w:rsidR="00A77B3E" w:rsidRDefault="00000000">
            <w:pPr>
              <w:spacing w:before="100"/>
              <w:rPr>
                <w:color w:val="000000"/>
                <w:sz w:val="20"/>
              </w:rPr>
            </w:pPr>
            <w:r>
              <w:rPr>
                <w:color w:val="000000"/>
                <w:sz w:val="20"/>
              </w:rPr>
              <w:t>SEM2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307E65" w14:textId="77777777" w:rsidR="00A77B3E" w:rsidRDefault="00000000">
            <w:pPr>
              <w:spacing w:before="100"/>
              <w:rPr>
                <w:color w:val="000000"/>
                <w:sz w:val="20"/>
              </w:rPr>
            </w:pPr>
            <w:r>
              <w:rPr>
                <w:color w:val="000000"/>
                <w:sz w:val="20"/>
              </w:rPr>
              <w:t>RSO2.1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6D92F3"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AB5F34"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700916"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195780" w14:textId="77777777" w:rsidR="00A77B3E" w:rsidRDefault="00000000">
            <w:pPr>
              <w:spacing w:before="100"/>
              <w:jc w:val="right"/>
              <w:rPr>
                <w:color w:val="000000"/>
                <w:sz w:val="20"/>
              </w:rPr>
            </w:pPr>
            <w:r>
              <w:rPr>
                <w:color w:val="000000"/>
                <w:sz w:val="20"/>
              </w:rPr>
              <w:t>79,643,250.00</w:t>
            </w:r>
          </w:p>
        </w:tc>
      </w:tr>
    </w:tbl>
    <w:p w14:paraId="2A9CF753" w14:textId="77777777" w:rsidR="00A77B3E" w:rsidRDefault="00000000">
      <w:pPr>
        <w:spacing w:before="100"/>
        <w:rPr>
          <w:color w:val="000000"/>
          <w:sz w:val="20"/>
        </w:rPr>
      </w:pPr>
      <w:r>
        <w:rPr>
          <w:color w:val="000000"/>
          <w:sz w:val="20"/>
        </w:rPr>
        <w:t>* In principle, 40 % for the ESF+ contributes to gender tracking. 100 % is applicable when Member State chooses to use Article 6 ESF+</w:t>
      </w:r>
    </w:p>
    <w:p w14:paraId="62C8E572" w14:textId="77777777" w:rsidR="00A77B3E" w:rsidRDefault="00000000">
      <w:pPr>
        <w:pStyle w:val="Heading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57" w:name="_Toc256000214"/>
      <w:r>
        <w:rPr>
          <w:rFonts w:ascii="Times New Roman" w:hAnsi="Times New Roman" w:cs="Times New Roman"/>
          <w:b w:val="0"/>
          <w:color w:val="000000"/>
          <w:sz w:val="24"/>
        </w:rPr>
        <w:lastRenderedPageBreak/>
        <w:t>2.1.1. Priority: SEM3. Sustainable and Integrated Urban Development</w:t>
      </w:r>
      <w:bookmarkEnd w:id="57"/>
    </w:p>
    <w:p w14:paraId="50172C64" w14:textId="77777777" w:rsidR="00A77B3E" w:rsidRDefault="00A77B3E">
      <w:pPr>
        <w:spacing w:before="100"/>
        <w:rPr>
          <w:color w:val="000000"/>
          <w:sz w:val="0"/>
        </w:rPr>
      </w:pPr>
    </w:p>
    <w:p w14:paraId="240EDA56" w14:textId="77777777" w:rsidR="00A77B3E" w:rsidRDefault="00000000">
      <w:pPr>
        <w:pStyle w:val="Heading4"/>
        <w:spacing w:before="100" w:after="0"/>
        <w:rPr>
          <w:b w:val="0"/>
          <w:color w:val="000000"/>
          <w:sz w:val="24"/>
        </w:rPr>
      </w:pPr>
      <w:bookmarkStart w:id="58" w:name="_Toc256000215"/>
      <w:r>
        <w:rPr>
          <w:b w:val="0"/>
          <w:color w:val="000000"/>
          <w:sz w:val="24"/>
        </w:rPr>
        <w:t>2.1.1.1. Specific objective: RSO5.1. Fostering the integrated and inclusive social, economic and environmental development, culture, natural heritage, sustainable tourism, and security in urban areas (ERDF)</w:t>
      </w:r>
      <w:bookmarkEnd w:id="58"/>
    </w:p>
    <w:p w14:paraId="68DADF32" w14:textId="77777777" w:rsidR="00A77B3E" w:rsidRDefault="00A77B3E">
      <w:pPr>
        <w:spacing w:before="100"/>
        <w:rPr>
          <w:color w:val="000000"/>
          <w:sz w:val="0"/>
        </w:rPr>
      </w:pPr>
    </w:p>
    <w:p w14:paraId="2FB165B8" w14:textId="77777777" w:rsidR="00A77B3E" w:rsidRDefault="00000000">
      <w:pPr>
        <w:pStyle w:val="Heading4"/>
        <w:spacing w:before="100" w:after="0"/>
        <w:rPr>
          <w:b w:val="0"/>
          <w:color w:val="000000"/>
          <w:sz w:val="24"/>
        </w:rPr>
      </w:pPr>
      <w:bookmarkStart w:id="59" w:name="_Toc256000216"/>
      <w:r>
        <w:rPr>
          <w:b w:val="0"/>
          <w:color w:val="000000"/>
          <w:sz w:val="24"/>
        </w:rPr>
        <w:t>2.1.1.1.1. Interventions of the Funds</w:t>
      </w:r>
      <w:bookmarkEnd w:id="59"/>
    </w:p>
    <w:p w14:paraId="4398148B" w14:textId="77777777" w:rsidR="00A77B3E" w:rsidRDefault="00A77B3E">
      <w:pPr>
        <w:spacing w:before="100"/>
        <w:rPr>
          <w:color w:val="000000"/>
          <w:sz w:val="0"/>
        </w:rPr>
      </w:pPr>
    </w:p>
    <w:p w14:paraId="3C58E406" w14:textId="77777777" w:rsidR="00A77B3E" w:rsidRDefault="00000000">
      <w:pPr>
        <w:spacing w:before="100"/>
        <w:rPr>
          <w:color w:val="000000"/>
          <w:sz w:val="0"/>
        </w:rPr>
      </w:pPr>
      <w:r>
        <w:rPr>
          <w:color w:val="000000"/>
        </w:rPr>
        <w:t>Reference: points (d)(</w:t>
      </w:r>
      <w:proofErr w:type="spellStart"/>
      <w:r>
        <w:rPr>
          <w:color w:val="000000"/>
        </w:rPr>
        <w:t>i</w:t>
      </w:r>
      <w:proofErr w:type="spellEnd"/>
      <w:r>
        <w:rPr>
          <w:color w:val="000000"/>
        </w:rPr>
        <w:t>), (iii), (iv), (v), (vi) and (vii) of Article 22(3) CPR</w:t>
      </w:r>
    </w:p>
    <w:p w14:paraId="3930979E" w14:textId="77777777" w:rsidR="00A77B3E" w:rsidRDefault="00000000">
      <w:pPr>
        <w:pStyle w:val="Heading5"/>
        <w:spacing w:before="100" w:after="0"/>
        <w:rPr>
          <w:b w:val="0"/>
          <w:i w:val="0"/>
          <w:color w:val="000000"/>
          <w:sz w:val="24"/>
        </w:rPr>
      </w:pPr>
      <w:bookmarkStart w:id="60" w:name="_Toc256000217"/>
      <w:r>
        <w:rPr>
          <w:b w:val="0"/>
          <w:i w:val="0"/>
          <w:color w:val="000000"/>
          <w:sz w:val="24"/>
        </w:rPr>
        <w:t>The related types of actions – point (d)(</w:t>
      </w:r>
      <w:proofErr w:type="spellStart"/>
      <w:r>
        <w:rPr>
          <w:b w:val="0"/>
          <w:i w:val="0"/>
          <w:color w:val="000000"/>
          <w:sz w:val="24"/>
        </w:rPr>
        <w:t>i</w:t>
      </w:r>
      <w:proofErr w:type="spellEnd"/>
      <w:r>
        <w:rPr>
          <w:b w:val="0"/>
          <w:i w:val="0"/>
          <w:color w:val="000000"/>
          <w:sz w:val="24"/>
        </w:rPr>
        <w:t>) of Article 22(3) CPR and Article 6 ESF+ Regulation:</w:t>
      </w:r>
      <w:bookmarkEnd w:id="60"/>
    </w:p>
    <w:p w14:paraId="18354F4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36D349D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2F508D" w14:textId="77777777" w:rsidR="00A77B3E" w:rsidRDefault="00A77B3E">
            <w:pPr>
              <w:spacing w:before="100"/>
              <w:rPr>
                <w:color w:val="000000"/>
                <w:sz w:val="0"/>
              </w:rPr>
            </w:pPr>
          </w:p>
          <w:p w14:paraId="4232116E" w14:textId="77777777" w:rsidR="00A77B3E" w:rsidRDefault="00000000">
            <w:pPr>
              <w:spacing w:before="100"/>
              <w:rPr>
                <w:color w:val="000000"/>
              </w:rPr>
            </w:pPr>
            <w:r>
              <w:rPr>
                <w:color w:val="000000"/>
              </w:rPr>
              <w:t xml:space="preserve">The following types of action will be taken under this priority to foster integrated and inclusive social, economic and environmental development, culture, natural heritage, sustainable tourism, and security in urban areas within the </w:t>
            </w:r>
            <w:proofErr w:type="spellStart"/>
            <w:r>
              <w:rPr>
                <w:color w:val="000000"/>
              </w:rPr>
              <w:t>programme</w:t>
            </w:r>
            <w:proofErr w:type="spellEnd"/>
            <w:r>
              <w:rPr>
                <w:color w:val="000000"/>
              </w:rPr>
              <w:t xml:space="preserve"> area.</w:t>
            </w:r>
          </w:p>
          <w:p w14:paraId="15D38B7F" w14:textId="77777777" w:rsidR="00A77B3E" w:rsidRDefault="00A77B3E">
            <w:pPr>
              <w:spacing w:before="100"/>
              <w:rPr>
                <w:color w:val="000000"/>
              </w:rPr>
            </w:pPr>
          </w:p>
          <w:p w14:paraId="6F9B3524" w14:textId="77777777" w:rsidR="00A77B3E" w:rsidRDefault="00000000">
            <w:pPr>
              <w:spacing w:before="100"/>
              <w:rPr>
                <w:color w:val="000000"/>
              </w:rPr>
            </w:pPr>
            <w:r>
              <w:rPr>
                <w:rStyle w:val="Strong"/>
                <w:b w:val="0"/>
                <w:color w:val="000000"/>
              </w:rPr>
              <w:t>Supporting locally lead and locally selected projects that take an integrated strategic approach to the regeneration of our towns, using a Town Centre First Health Check framework to gather data, develop action plans and lead actions on regeneration.</w:t>
            </w:r>
          </w:p>
          <w:p w14:paraId="30529426" w14:textId="77777777" w:rsidR="00A77B3E" w:rsidRDefault="00A77B3E">
            <w:pPr>
              <w:spacing w:before="100"/>
              <w:rPr>
                <w:color w:val="000000"/>
              </w:rPr>
            </w:pPr>
          </w:p>
          <w:p w14:paraId="6B0A4933" w14:textId="77777777" w:rsidR="00A77B3E" w:rsidRDefault="00000000">
            <w:pPr>
              <w:spacing w:before="100"/>
              <w:rPr>
                <w:color w:val="000000"/>
              </w:rPr>
            </w:pPr>
            <w:r>
              <w:rPr>
                <w:color w:val="000000"/>
              </w:rPr>
              <w:t xml:space="preserve">Action RSO5.1.1: Prepare integrated urban regeneration action plans / masterplans (either using procured </w:t>
            </w:r>
            <w:proofErr w:type="spellStart"/>
            <w:r>
              <w:rPr>
                <w:color w:val="000000"/>
              </w:rPr>
              <w:t>multi disciplinary</w:t>
            </w:r>
            <w:proofErr w:type="spellEnd"/>
            <w:r>
              <w:rPr>
                <w:color w:val="000000"/>
              </w:rPr>
              <w:t xml:space="preserve"> service or short term contract within the Local Authority for required skills) which identify projects and initiatives tackling town </w:t>
            </w:r>
            <w:proofErr w:type="spellStart"/>
            <w:r>
              <w:rPr>
                <w:color w:val="000000"/>
              </w:rPr>
              <w:t>centre</w:t>
            </w:r>
            <w:proofErr w:type="spellEnd"/>
            <w:r>
              <w:rPr>
                <w:color w:val="000000"/>
              </w:rPr>
              <w:t xml:space="preserve"> regeneration, placemaking, vacancy and dereliction</w:t>
            </w:r>
          </w:p>
          <w:p w14:paraId="04A709BD" w14:textId="77777777" w:rsidR="00A77B3E" w:rsidRDefault="00A77B3E">
            <w:pPr>
              <w:spacing w:before="100"/>
              <w:rPr>
                <w:color w:val="000000"/>
              </w:rPr>
            </w:pPr>
          </w:p>
          <w:p w14:paraId="172D53D5" w14:textId="77777777" w:rsidR="00A77B3E" w:rsidRDefault="00000000">
            <w:pPr>
              <w:spacing w:before="100"/>
              <w:rPr>
                <w:color w:val="000000"/>
              </w:rPr>
            </w:pPr>
            <w:r>
              <w:rPr>
                <w:color w:val="000000"/>
              </w:rPr>
              <w:t xml:space="preserve">Action RSO5.1.2: Deliver pilot and pathfinder projects for selected towns (priority for Key Towns and Regional Growth </w:t>
            </w:r>
            <w:proofErr w:type="spellStart"/>
            <w:r>
              <w:rPr>
                <w:color w:val="000000"/>
              </w:rPr>
              <w:t>Centres</w:t>
            </w:r>
            <w:proofErr w:type="spellEnd"/>
            <w:r>
              <w:rPr>
                <w:color w:val="000000"/>
              </w:rPr>
              <w:t xml:space="preserve"> listed in the RSESs) tackling town </w:t>
            </w:r>
            <w:proofErr w:type="spellStart"/>
            <w:r>
              <w:rPr>
                <w:color w:val="000000"/>
              </w:rPr>
              <w:t>centre</w:t>
            </w:r>
            <w:proofErr w:type="spellEnd"/>
            <w:r>
              <w:rPr>
                <w:color w:val="000000"/>
              </w:rPr>
              <w:t xml:space="preserve"> regeneration, placemaking, vacancy and dereliction. This will involve capital investment and may include public realm improvement projects.</w:t>
            </w:r>
          </w:p>
          <w:p w14:paraId="40F5C063" w14:textId="77777777" w:rsidR="00A77B3E" w:rsidRDefault="00A77B3E">
            <w:pPr>
              <w:spacing w:before="100"/>
              <w:rPr>
                <w:color w:val="000000"/>
              </w:rPr>
            </w:pPr>
          </w:p>
          <w:p w14:paraId="2EE25DAC" w14:textId="77777777" w:rsidR="00A77B3E" w:rsidRDefault="00000000">
            <w:pPr>
              <w:spacing w:before="100"/>
              <w:rPr>
                <w:color w:val="000000"/>
              </w:rPr>
            </w:pPr>
            <w:r>
              <w:rPr>
                <w:color w:val="000000"/>
              </w:rPr>
              <w:t>The relevant Local Authority in which the town is located will be responsible for the production of the plans identified in Action RSO5.1.1 above. These plans will meet the requirements of integrated territorial strategies as defined in CPR Article 29. The plans will be prepared in collaboration with the local community through direct engagement and through undertaking research and analysis of the town. Expertise from across multiple policy areas will be used in the development of the plans, including, housing, planning, conservation, sustainable urban design, building vacancy, environmental, community and economic development.</w:t>
            </w:r>
          </w:p>
          <w:p w14:paraId="3D3062CE" w14:textId="77777777" w:rsidR="00A77B3E" w:rsidRDefault="00A77B3E">
            <w:pPr>
              <w:spacing w:before="100"/>
              <w:rPr>
                <w:color w:val="000000"/>
              </w:rPr>
            </w:pPr>
          </w:p>
          <w:p w14:paraId="044B5214" w14:textId="77777777" w:rsidR="00A77B3E" w:rsidRDefault="00000000">
            <w:pPr>
              <w:spacing w:before="100"/>
              <w:rPr>
                <w:color w:val="000000"/>
              </w:rPr>
            </w:pPr>
            <w:r>
              <w:rPr>
                <w:color w:val="000000"/>
              </w:rPr>
              <w:t xml:space="preserve">Pilot and pathfinder projects will be selected by the Local Authorities on the basis of their readiness to commence and those that are at an advanced stage in the Town Centre First process i.e., data gathering and analysis phase complete and/or Towns Centre First plans already developed and/or Town Teams </w:t>
            </w:r>
            <w:r>
              <w:rPr>
                <w:color w:val="000000"/>
              </w:rPr>
              <w:lastRenderedPageBreak/>
              <w:t>already in place. These pilot and pathfinder projects will assist in informing the approach for other towns at earlier stages in the process and who have historically demonstrated a lower capacity to leverage investment opportunities.</w:t>
            </w:r>
          </w:p>
          <w:p w14:paraId="5898898E" w14:textId="77777777" w:rsidR="00A77B3E" w:rsidRDefault="00A77B3E">
            <w:pPr>
              <w:spacing w:before="100"/>
              <w:rPr>
                <w:color w:val="000000"/>
              </w:rPr>
            </w:pPr>
          </w:p>
          <w:p w14:paraId="6EE1E094" w14:textId="77777777" w:rsidR="00A77B3E" w:rsidRDefault="00000000">
            <w:pPr>
              <w:spacing w:before="100"/>
              <w:rPr>
                <w:color w:val="000000"/>
              </w:rPr>
            </w:pPr>
            <w:r>
              <w:rPr>
                <w:color w:val="000000"/>
              </w:rPr>
              <w:t>The Managing Authority will work closely with the DHLGH. the relevant Regional and Local Authorities, the Town Teams and local communities to ensure visibility of EU funds in the selected towns and the wider region. This will include capacity building and communications support.</w:t>
            </w:r>
          </w:p>
          <w:p w14:paraId="6A717F5B" w14:textId="77777777" w:rsidR="00A77B3E" w:rsidRDefault="00A77B3E">
            <w:pPr>
              <w:spacing w:before="100"/>
              <w:rPr>
                <w:color w:val="000000"/>
              </w:rPr>
            </w:pPr>
          </w:p>
          <w:p w14:paraId="1F2FADFD" w14:textId="77777777" w:rsidR="00A77B3E" w:rsidRDefault="00000000">
            <w:pPr>
              <w:spacing w:before="100"/>
              <w:rPr>
                <w:color w:val="000000"/>
              </w:rPr>
            </w:pPr>
            <w:r>
              <w:rPr>
                <w:color w:val="000000"/>
              </w:rPr>
              <w:t>===================</w:t>
            </w:r>
          </w:p>
          <w:p w14:paraId="033273EB" w14:textId="77777777" w:rsidR="00A77B3E" w:rsidRDefault="00A77B3E">
            <w:pPr>
              <w:spacing w:before="100"/>
              <w:rPr>
                <w:color w:val="000000"/>
              </w:rPr>
            </w:pPr>
          </w:p>
          <w:p w14:paraId="4195A9E8" w14:textId="77777777" w:rsidR="00A77B3E" w:rsidRDefault="00000000">
            <w:pPr>
              <w:spacing w:before="100"/>
              <w:rPr>
                <w:color w:val="000000"/>
              </w:rPr>
            </w:pPr>
            <w:r>
              <w:rPr>
                <w:rStyle w:val="Strong"/>
                <w:b w:val="0"/>
                <w:color w:val="000000"/>
              </w:rPr>
              <w:t>Strategic Procurement and Environmentally Sustainable Solutions</w:t>
            </w:r>
          </w:p>
          <w:p w14:paraId="25A3F137" w14:textId="77777777" w:rsidR="00A77B3E" w:rsidRDefault="00000000">
            <w:pPr>
              <w:spacing w:before="100"/>
              <w:rPr>
                <w:color w:val="000000"/>
              </w:rPr>
            </w:pPr>
            <w:r>
              <w:rPr>
                <w:color w:val="000000"/>
              </w:rPr>
              <w:t xml:space="preserve">The Managing Authority will promote the strategic use of public procurement to support actions under this Specific Objective, including </w:t>
            </w:r>
            <w:proofErr w:type="spellStart"/>
            <w:r>
              <w:rPr>
                <w:color w:val="000000"/>
              </w:rPr>
              <w:t>professionalisation</w:t>
            </w:r>
            <w:proofErr w:type="spellEnd"/>
            <w:r>
              <w:rPr>
                <w:color w:val="000000"/>
              </w:rPr>
              <w:t xml:space="preserve"> efforts to address capacity gaps. Beneficiaries will be encouraged to use more quality-related and lifecycle cost criteria. When feasible, environmental (e.g., green public procurement criteria) and social considerations as well as innovation incentives will be incorporated into public procurement procedures.</w:t>
            </w:r>
          </w:p>
          <w:p w14:paraId="1D69A3D9" w14:textId="77777777" w:rsidR="00A77B3E" w:rsidRDefault="00A77B3E">
            <w:pPr>
              <w:spacing w:before="100"/>
              <w:rPr>
                <w:color w:val="000000"/>
              </w:rPr>
            </w:pPr>
          </w:p>
          <w:p w14:paraId="78BF7FA4" w14:textId="77777777" w:rsidR="00A77B3E" w:rsidRDefault="00000000">
            <w:pPr>
              <w:spacing w:before="100"/>
              <w:rPr>
                <w:color w:val="000000"/>
              </w:rPr>
            </w:pPr>
            <w:r>
              <w:rPr>
                <w:color w:val="000000"/>
              </w:rPr>
              <w:t>The selection of projects will be made based on criteria that take into account the most environmentally sustainable solutions. These criteria shall be adapted to the nature of the intervention and applied as widely as possible.</w:t>
            </w:r>
          </w:p>
          <w:p w14:paraId="65909F2D" w14:textId="77777777" w:rsidR="00A77B3E" w:rsidRDefault="00A77B3E">
            <w:pPr>
              <w:spacing w:before="100"/>
              <w:rPr>
                <w:color w:val="000000"/>
              </w:rPr>
            </w:pPr>
          </w:p>
          <w:p w14:paraId="78377110" w14:textId="77777777" w:rsidR="00A77B3E" w:rsidRDefault="00000000">
            <w:pPr>
              <w:spacing w:before="100"/>
              <w:rPr>
                <w:color w:val="000000"/>
              </w:rPr>
            </w:pPr>
            <w:r>
              <w:rPr>
                <w:rStyle w:val="Strong"/>
                <w:b w:val="0"/>
                <w:color w:val="000000"/>
              </w:rPr>
              <w:t>New European Bauhaus</w:t>
            </w:r>
          </w:p>
          <w:p w14:paraId="01F96C5A" w14:textId="77777777" w:rsidR="00A77B3E" w:rsidRDefault="00000000">
            <w:pPr>
              <w:spacing w:before="100"/>
              <w:rPr>
                <w:color w:val="000000"/>
              </w:rPr>
            </w:pPr>
            <w:r>
              <w:rPr>
                <w:color w:val="000000"/>
              </w:rPr>
              <w:t>The New European Bauhaus initiative connects the European Green Deal to our daily lives and living spaces. It calls on all Europeans to imagine and build together a sustainable and inclusive future that is beautiful for our eyes, minds, and souls. The type of actions set out above are in line with the New European Bauhaus initiative and provide opportunities to realize beautiful, sustainable, and inclusive projects through the Programme.</w:t>
            </w:r>
          </w:p>
          <w:p w14:paraId="58BE5DC9" w14:textId="77777777" w:rsidR="00A77B3E" w:rsidRDefault="00A77B3E">
            <w:pPr>
              <w:spacing w:before="100"/>
              <w:rPr>
                <w:color w:val="000000"/>
              </w:rPr>
            </w:pPr>
          </w:p>
          <w:p w14:paraId="1A20BE7E" w14:textId="77777777" w:rsidR="00A77B3E" w:rsidRDefault="00000000">
            <w:pPr>
              <w:spacing w:before="100"/>
              <w:rPr>
                <w:color w:val="000000"/>
              </w:rPr>
            </w:pPr>
            <w:r>
              <w:rPr>
                <w:rStyle w:val="Strong"/>
                <w:b w:val="0"/>
                <w:color w:val="000000"/>
              </w:rPr>
              <w:t>Do No Significant Harm (DNSH) Analysis</w:t>
            </w:r>
          </w:p>
          <w:p w14:paraId="7538A36A" w14:textId="77777777" w:rsidR="00A77B3E" w:rsidRDefault="00000000">
            <w:pPr>
              <w:spacing w:before="100"/>
              <w:rPr>
                <w:color w:val="000000"/>
              </w:rPr>
            </w:pPr>
            <w:r>
              <w:rPr>
                <w:color w:val="000000"/>
              </w:rPr>
              <w:t>A DNSH analysis has been carried out at the level of the types of actions defined above and it has been determined that these actions would do no significant harm to environmental objectives within the meaning of Article 17 of Regulation (EU) 2020/852 of the European Parliament and of the Council.</w:t>
            </w:r>
          </w:p>
          <w:p w14:paraId="18E209D4" w14:textId="77777777" w:rsidR="00A77B3E" w:rsidRDefault="00A77B3E">
            <w:pPr>
              <w:spacing w:before="100"/>
              <w:rPr>
                <w:color w:val="000000"/>
                <w:sz w:val="6"/>
              </w:rPr>
            </w:pPr>
          </w:p>
          <w:p w14:paraId="329FC848" w14:textId="77777777" w:rsidR="00A77B3E" w:rsidRDefault="00A77B3E">
            <w:pPr>
              <w:spacing w:before="100"/>
              <w:rPr>
                <w:color w:val="000000"/>
                <w:sz w:val="6"/>
              </w:rPr>
            </w:pPr>
          </w:p>
        </w:tc>
      </w:tr>
    </w:tbl>
    <w:p w14:paraId="62C3EB0F" w14:textId="77777777" w:rsidR="00A77B3E" w:rsidRDefault="00A77B3E">
      <w:pPr>
        <w:spacing w:before="100"/>
        <w:rPr>
          <w:color w:val="000000"/>
        </w:rPr>
      </w:pPr>
    </w:p>
    <w:p w14:paraId="111D7C43" w14:textId="77777777" w:rsidR="00A77B3E" w:rsidRDefault="00000000">
      <w:pPr>
        <w:pStyle w:val="Heading5"/>
        <w:spacing w:before="100" w:after="0"/>
        <w:rPr>
          <w:b w:val="0"/>
          <w:i w:val="0"/>
          <w:color w:val="000000"/>
          <w:sz w:val="24"/>
        </w:rPr>
      </w:pPr>
      <w:bookmarkStart w:id="61" w:name="_Toc256000218"/>
      <w:r>
        <w:rPr>
          <w:b w:val="0"/>
          <w:i w:val="0"/>
          <w:color w:val="000000"/>
          <w:sz w:val="24"/>
        </w:rPr>
        <w:t>The main target groups - point (d)(iii) of Article 22(3) CPR:</w:t>
      </w:r>
      <w:bookmarkEnd w:id="61"/>
    </w:p>
    <w:p w14:paraId="3334D9B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504DD823"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908D2F" w14:textId="77777777" w:rsidR="00A77B3E" w:rsidRDefault="00A77B3E">
            <w:pPr>
              <w:spacing w:before="100"/>
              <w:rPr>
                <w:color w:val="000000"/>
                <w:sz w:val="0"/>
              </w:rPr>
            </w:pPr>
          </w:p>
          <w:p w14:paraId="7D84FFCA" w14:textId="77777777" w:rsidR="00A77B3E" w:rsidRDefault="00000000">
            <w:pPr>
              <w:spacing w:before="100"/>
              <w:rPr>
                <w:color w:val="000000"/>
              </w:rPr>
            </w:pPr>
            <w:r>
              <w:rPr>
                <w:color w:val="000000"/>
              </w:rPr>
              <w:t xml:space="preserve">The main target beneficiaries for the actions under RSO5.1 are Local Authorities with primary responsibility for sustainable and integrated urban development and implementation of the Town Centre First policy in the selected towns within the </w:t>
            </w:r>
            <w:proofErr w:type="spellStart"/>
            <w:r>
              <w:rPr>
                <w:color w:val="000000"/>
              </w:rPr>
              <w:t>programme</w:t>
            </w:r>
            <w:proofErr w:type="spellEnd"/>
            <w:r>
              <w:rPr>
                <w:color w:val="000000"/>
              </w:rPr>
              <w:t xml:space="preserve"> area.</w:t>
            </w:r>
          </w:p>
          <w:p w14:paraId="7255DFAA" w14:textId="77777777" w:rsidR="00A77B3E" w:rsidRDefault="00A77B3E">
            <w:pPr>
              <w:spacing w:before="100"/>
              <w:rPr>
                <w:color w:val="000000"/>
              </w:rPr>
            </w:pPr>
          </w:p>
          <w:p w14:paraId="6372838D" w14:textId="77777777" w:rsidR="00A77B3E" w:rsidRDefault="00000000">
            <w:pPr>
              <w:spacing w:before="100"/>
              <w:rPr>
                <w:color w:val="000000"/>
              </w:rPr>
            </w:pPr>
            <w:r>
              <w:rPr>
                <w:color w:val="000000"/>
              </w:rPr>
              <w:t>Local Authorities will work with other local and regional stakeholders to develop and deliver integrated urban development strategies and associated operations, including private citizens, local enterprises, industry groups, community development groups, property owners and public bodies.</w:t>
            </w:r>
          </w:p>
          <w:p w14:paraId="3B2DAFBC" w14:textId="77777777" w:rsidR="00A77B3E" w:rsidRDefault="00A77B3E">
            <w:pPr>
              <w:spacing w:before="100"/>
              <w:rPr>
                <w:color w:val="000000"/>
                <w:sz w:val="6"/>
              </w:rPr>
            </w:pPr>
          </w:p>
          <w:p w14:paraId="62BB8E45" w14:textId="77777777" w:rsidR="00A77B3E" w:rsidRDefault="00A77B3E">
            <w:pPr>
              <w:spacing w:before="100"/>
              <w:rPr>
                <w:color w:val="000000"/>
                <w:sz w:val="6"/>
              </w:rPr>
            </w:pPr>
          </w:p>
        </w:tc>
      </w:tr>
    </w:tbl>
    <w:p w14:paraId="5569A635" w14:textId="77777777" w:rsidR="00A77B3E" w:rsidRDefault="00A77B3E">
      <w:pPr>
        <w:spacing w:before="100"/>
        <w:rPr>
          <w:color w:val="000000"/>
        </w:rPr>
      </w:pPr>
    </w:p>
    <w:p w14:paraId="511A23E2" w14:textId="77777777" w:rsidR="00A77B3E" w:rsidRDefault="00000000">
      <w:pPr>
        <w:pStyle w:val="Heading5"/>
        <w:spacing w:before="100" w:after="0"/>
        <w:rPr>
          <w:b w:val="0"/>
          <w:i w:val="0"/>
          <w:color w:val="000000"/>
          <w:sz w:val="24"/>
        </w:rPr>
      </w:pPr>
      <w:bookmarkStart w:id="62" w:name="_Toc256000219"/>
      <w:r>
        <w:rPr>
          <w:b w:val="0"/>
          <w:i w:val="0"/>
          <w:color w:val="000000"/>
          <w:sz w:val="24"/>
        </w:rPr>
        <w:t>Actions safeguarding equality, inclusion and non-discrimination – point (d)(iv) of Article 22(3) CPR and Article 6 ESF+ Regulation</w:t>
      </w:r>
      <w:bookmarkEnd w:id="62"/>
    </w:p>
    <w:p w14:paraId="72DF6CC4"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365B493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5C88FA" w14:textId="77777777" w:rsidR="00A77B3E" w:rsidRDefault="00A77B3E">
            <w:pPr>
              <w:spacing w:before="100"/>
              <w:rPr>
                <w:color w:val="000000"/>
                <w:sz w:val="0"/>
              </w:rPr>
            </w:pPr>
          </w:p>
          <w:p w14:paraId="78FF9657" w14:textId="77777777" w:rsidR="00A77B3E" w:rsidRDefault="00000000">
            <w:pPr>
              <w:spacing w:before="100"/>
              <w:rPr>
                <w:color w:val="000000"/>
              </w:rPr>
            </w:pPr>
            <w:r>
              <w:rPr>
                <w:color w:val="000000"/>
              </w:rPr>
              <w:t>Please refer to details already provided under 'Actions safeguarding equality, inclusion and non-discrimination – point (d)(iv) of Article 22(3) CPR and Article 6 ESF+ Regulation' under RSO1.1.</w:t>
            </w:r>
          </w:p>
          <w:p w14:paraId="0037784E" w14:textId="77777777" w:rsidR="00A77B3E" w:rsidRDefault="00A77B3E">
            <w:pPr>
              <w:spacing w:before="100"/>
              <w:rPr>
                <w:color w:val="000000"/>
                <w:sz w:val="6"/>
              </w:rPr>
            </w:pPr>
          </w:p>
          <w:p w14:paraId="6B0EEB07" w14:textId="77777777" w:rsidR="00A77B3E" w:rsidRDefault="00A77B3E">
            <w:pPr>
              <w:spacing w:before="100"/>
              <w:rPr>
                <w:color w:val="000000"/>
                <w:sz w:val="6"/>
              </w:rPr>
            </w:pPr>
          </w:p>
        </w:tc>
      </w:tr>
    </w:tbl>
    <w:p w14:paraId="67143A10" w14:textId="77777777" w:rsidR="00A77B3E" w:rsidRDefault="00A77B3E">
      <w:pPr>
        <w:spacing w:before="100"/>
        <w:rPr>
          <w:color w:val="000000"/>
        </w:rPr>
      </w:pPr>
    </w:p>
    <w:p w14:paraId="0E04606A" w14:textId="77777777" w:rsidR="00A77B3E" w:rsidRDefault="00000000">
      <w:pPr>
        <w:pStyle w:val="Heading5"/>
        <w:spacing w:before="100" w:after="0"/>
        <w:rPr>
          <w:b w:val="0"/>
          <w:i w:val="0"/>
          <w:color w:val="000000"/>
          <w:sz w:val="24"/>
        </w:rPr>
      </w:pPr>
      <w:bookmarkStart w:id="63" w:name="_Toc256000220"/>
      <w:r>
        <w:rPr>
          <w:b w:val="0"/>
          <w:i w:val="0"/>
          <w:color w:val="000000"/>
          <w:sz w:val="24"/>
        </w:rPr>
        <w:t>Indication of the specific territories targeted, including the planned use of territorial tools – point (d)(v) of Article 22(3) CPR</w:t>
      </w:r>
      <w:bookmarkEnd w:id="63"/>
    </w:p>
    <w:p w14:paraId="58F38BD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43518FF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497075" w14:textId="77777777" w:rsidR="00A77B3E" w:rsidRDefault="00A77B3E">
            <w:pPr>
              <w:spacing w:before="100"/>
              <w:rPr>
                <w:color w:val="000000"/>
                <w:sz w:val="0"/>
              </w:rPr>
            </w:pPr>
          </w:p>
          <w:p w14:paraId="266C03CF" w14:textId="77777777" w:rsidR="00A77B3E" w:rsidRDefault="00000000">
            <w:pPr>
              <w:spacing w:before="100"/>
              <w:rPr>
                <w:color w:val="000000"/>
              </w:rPr>
            </w:pPr>
            <w:r>
              <w:rPr>
                <w:color w:val="000000"/>
              </w:rPr>
              <w:t xml:space="preserve">Supported actions will be targeted towards key towns and regional growth </w:t>
            </w:r>
            <w:proofErr w:type="spellStart"/>
            <w:r>
              <w:rPr>
                <w:color w:val="000000"/>
              </w:rPr>
              <w:t>centres</w:t>
            </w:r>
            <w:proofErr w:type="spellEnd"/>
            <w:r>
              <w:rPr>
                <w:color w:val="000000"/>
              </w:rPr>
              <w:t xml:space="preserve"> in the two NUT2 regions in the </w:t>
            </w:r>
            <w:proofErr w:type="spellStart"/>
            <w:r>
              <w:rPr>
                <w:color w:val="000000"/>
              </w:rPr>
              <w:t>programme</w:t>
            </w:r>
            <w:proofErr w:type="spellEnd"/>
            <w:r>
              <w:rPr>
                <w:color w:val="000000"/>
              </w:rPr>
              <w:t xml:space="preserve"> area. Integrated territorial strategies will be used under this specific objective. These will take the form of "territorial tool supporting initiatives designed by the Member State" pursuant to point (c) of Article 28 CPR. </w:t>
            </w:r>
          </w:p>
          <w:p w14:paraId="18DAE4BC" w14:textId="77777777" w:rsidR="00A77B3E" w:rsidRDefault="00A77B3E">
            <w:pPr>
              <w:spacing w:before="100"/>
              <w:rPr>
                <w:color w:val="000000"/>
                <w:sz w:val="6"/>
              </w:rPr>
            </w:pPr>
          </w:p>
          <w:p w14:paraId="2085AD2E" w14:textId="77777777" w:rsidR="00A77B3E" w:rsidRDefault="00A77B3E">
            <w:pPr>
              <w:spacing w:before="100"/>
              <w:rPr>
                <w:color w:val="000000"/>
                <w:sz w:val="6"/>
              </w:rPr>
            </w:pPr>
          </w:p>
        </w:tc>
      </w:tr>
    </w:tbl>
    <w:p w14:paraId="2B0D7AF5" w14:textId="77777777" w:rsidR="00A77B3E" w:rsidRDefault="00A77B3E">
      <w:pPr>
        <w:spacing w:before="100"/>
        <w:rPr>
          <w:color w:val="000000"/>
        </w:rPr>
      </w:pPr>
    </w:p>
    <w:p w14:paraId="3F32DCA0" w14:textId="77777777" w:rsidR="00A77B3E" w:rsidRDefault="00000000">
      <w:pPr>
        <w:pStyle w:val="Heading5"/>
        <w:spacing w:before="100" w:after="0"/>
        <w:rPr>
          <w:b w:val="0"/>
          <w:i w:val="0"/>
          <w:color w:val="000000"/>
          <w:sz w:val="24"/>
        </w:rPr>
      </w:pPr>
      <w:bookmarkStart w:id="64" w:name="_Toc256000221"/>
      <w:r>
        <w:rPr>
          <w:b w:val="0"/>
          <w:i w:val="0"/>
          <w:color w:val="000000"/>
          <w:sz w:val="24"/>
        </w:rPr>
        <w:t>The interregional, cross-border and transnational actions – point (d)(vi) of Article 22(3) CPR</w:t>
      </w:r>
      <w:bookmarkEnd w:id="64"/>
    </w:p>
    <w:p w14:paraId="1D46B4E1"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786F81E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95CB8B" w14:textId="77777777" w:rsidR="00A77B3E" w:rsidRDefault="00A77B3E">
            <w:pPr>
              <w:spacing w:before="100"/>
              <w:rPr>
                <w:color w:val="000000"/>
                <w:sz w:val="0"/>
              </w:rPr>
            </w:pPr>
          </w:p>
          <w:p w14:paraId="59AE68FD" w14:textId="77777777" w:rsidR="00A77B3E" w:rsidRDefault="00000000">
            <w:pPr>
              <w:spacing w:before="100"/>
              <w:rPr>
                <w:color w:val="000000"/>
              </w:rPr>
            </w:pPr>
            <w:r>
              <w:rPr>
                <w:color w:val="000000"/>
              </w:rPr>
              <w:t xml:space="preserve">The main target beneficiaries for Action RSO5.1.1 – Local Authorities in the </w:t>
            </w:r>
            <w:proofErr w:type="spellStart"/>
            <w:r>
              <w:rPr>
                <w:color w:val="000000"/>
              </w:rPr>
              <w:t>programme</w:t>
            </w:r>
            <w:proofErr w:type="spellEnd"/>
            <w:r>
              <w:rPr>
                <w:color w:val="000000"/>
              </w:rPr>
              <w:t xml:space="preserve"> area – have been actively involved in over 100 interregional, cross-border and transnational projects during the current programming period as partners and stakeholders including Interreg Ireland/Wales, Interreg Europe, Interreg Atlantic Area, Interreg Northern Periphery and </w:t>
            </w:r>
            <w:proofErr w:type="spellStart"/>
            <w:r>
              <w:rPr>
                <w:color w:val="000000"/>
              </w:rPr>
              <w:t>Artic</w:t>
            </w:r>
            <w:proofErr w:type="spellEnd"/>
            <w:r>
              <w:rPr>
                <w:color w:val="000000"/>
              </w:rPr>
              <w:t>, Interreg North West Europe, Creative Europe, Horizon 2020, URBACT III, ESPON and EU Life.</w:t>
            </w:r>
          </w:p>
          <w:p w14:paraId="12FE956B" w14:textId="77777777" w:rsidR="00A77B3E" w:rsidRDefault="00A77B3E">
            <w:pPr>
              <w:spacing w:before="100"/>
              <w:rPr>
                <w:color w:val="000000"/>
              </w:rPr>
            </w:pPr>
          </w:p>
          <w:p w14:paraId="4BB6E5BD" w14:textId="77777777" w:rsidR="00A77B3E" w:rsidRDefault="00000000">
            <w:pPr>
              <w:spacing w:before="100"/>
              <w:rPr>
                <w:color w:val="000000"/>
              </w:rPr>
            </w:pPr>
            <w:r>
              <w:rPr>
                <w:color w:val="000000"/>
              </w:rPr>
              <w:t xml:space="preserve">Many of these projects, e.g., Rediscovering Ancient Connections, Murals for Communities, MMIAH, Playful Paradigm, PLACE-EE, </w:t>
            </w:r>
            <w:proofErr w:type="spellStart"/>
            <w:r>
              <w:rPr>
                <w:color w:val="000000"/>
              </w:rPr>
              <w:t>Health&amp;Greenspace</w:t>
            </w:r>
            <w:proofErr w:type="spellEnd"/>
            <w:r>
              <w:rPr>
                <w:color w:val="000000"/>
              </w:rPr>
              <w:t xml:space="preserve">, Go Green Routes, Celtic Routes and </w:t>
            </w:r>
            <w:proofErr w:type="spellStart"/>
            <w:r>
              <w:rPr>
                <w:color w:val="000000"/>
              </w:rPr>
              <w:t>GeoLife</w:t>
            </w:r>
            <w:proofErr w:type="spellEnd"/>
            <w:r>
              <w:rPr>
                <w:color w:val="000000"/>
              </w:rPr>
              <w:t xml:space="preserve">, focused on improving placemaking, town </w:t>
            </w:r>
            <w:proofErr w:type="spellStart"/>
            <w:r>
              <w:rPr>
                <w:color w:val="000000"/>
              </w:rPr>
              <w:t>centres</w:t>
            </w:r>
            <w:proofErr w:type="spellEnd"/>
            <w:r>
              <w:rPr>
                <w:color w:val="000000"/>
              </w:rPr>
              <w:t xml:space="preserve"> and regeneration. The knowledge, expertise and innovations gained by the beneficiaries through their past participation in these projects together with their future participation in similar projects will support interregional, cross-border and transnational learning and activities.</w:t>
            </w:r>
          </w:p>
          <w:p w14:paraId="42986285" w14:textId="77777777" w:rsidR="00A77B3E" w:rsidRDefault="00A77B3E">
            <w:pPr>
              <w:spacing w:before="100"/>
              <w:rPr>
                <w:color w:val="000000"/>
              </w:rPr>
            </w:pPr>
          </w:p>
          <w:p w14:paraId="6B086081" w14:textId="77777777" w:rsidR="00A77B3E" w:rsidRDefault="00000000">
            <w:pPr>
              <w:spacing w:before="100"/>
              <w:rPr>
                <w:color w:val="000000"/>
              </w:rPr>
            </w:pPr>
            <w:r>
              <w:rPr>
                <w:color w:val="000000"/>
              </w:rPr>
              <w:lastRenderedPageBreak/>
              <w:t xml:space="preserve">In addition, the involvement of multiple actors in the creation of the integrated urban strategies at the heart of this action creates opportunities to collaborate with these actors and transnational actors on a range of design, implementation and evaluation activities throughout the lifetime of the </w:t>
            </w:r>
            <w:proofErr w:type="spellStart"/>
            <w:r>
              <w:rPr>
                <w:color w:val="000000"/>
              </w:rPr>
              <w:t>programme</w:t>
            </w:r>
            <w:proofErr w:type="spellEnd"/>
            <w:r>
              <w:rPr>
                <w:color w:val="000000"/>
              </w:rPr>
              <w:t>.</w:t>
            </w:r>
          </w:p>
          <w:p w14:paraId="3B6B2D0D" w14:textId="77777777" w:rsidR="00A77B3E" w:rsidRDefault="00A77B3E">
            <w:pPr>
              <w:spacing w:before="100"/>
              <w:rPr>
                <w:color w:val="000000"/>
                <w:sz w:val="6"/>
              </w:rPr>
            </w:pPr>
          </w:p>
          <w:p w14:paraId="19AC0CB0" w14:textId="77777777" w:rsidR="00A77B3E" w:rsidRDefault="00A77B3E">
            <w:pPr>
              <w:spacing w:before="100"/>
              <w:rPr>
                <w:color w:val="000000"/>
                <w:sz w:val="6"/>
              </w:rPr>
            </w:pPr>
          </w:p>
        </w:tc>
      </w:tr>
    </w:tbl>
    <w:p w14:paraId="68D8073C" w14:textId="77777777" w:rsidR="00A77B3E" w:rsidRDefault="00A77B3E">
      <w:pPr>
        <w:spacing w:before="100"/>
        <w:rPr>
          <w:color w:val="000000"/>
        </w:rPr>
      </w:pPr>
    </w:p>
    <w:p w14:paraId="429A742B" w14:textId="77777777" w:rsidR="00A77B3E" w:rsidRDefault="00000000">
      <w:pPr>
        <w:pStyle w:val="Heading5"/>
        <w:spacing w:before="100" w:after="0"/>
        <w:rPr>
          <w:b w:val="0"/>
          <w:i w:val="0"/>
          <w:color w:val="000000"/>
          <w:sz w:val="24"/>
        </w:rPr>
      </w:pPr>
      <w:bookmarkStart w:id="65" w:name="_Toc256000222"/>
      <w:r>
        <w:rPr>
          <w:b w:val="0"/>
          <w:i w:val="0"/>
          <w:color w:val="000000"/>
          <w:sz w:val="24"/>
        </w:rPr>
        <w:t>The planned use of financial instruments – point (d)(vii) of Article 22(3) CPR</w:t>
      </w:r>
      <w:bookmarkEnd w:id="65"/>
    </w:p>
    <w:p w14:paraId="3A677AA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40B1BE4F"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D82045" w14:textId="77777777" w:rsidR="00A77B3E" w:rsidRDefault="00A77B3E">
            <w:pPr>
              <w:spacing w:before="100"/>
              <w:rPr>
                <w:color w:val="000000"/>
                <w:sz w:val="0"/>
              </w:rPr>
            </w:pPr>
          </w:p>
          <w:p w14:paraId="345AD03B" w14:textId="77777777" w:rsidR="00A77B3E" w:rsidRDefault="00000000">
            <w:pPr>
              <w:spacing w:before="100"/>
              <w:rPr>
                <w:color w:val="000000"/>
              </w:rPr>
            </w:pPr>
            <w:r>
              <w:rPr>
                <w:color w:val="000000"/>
              </w:rPr>
              <w:t>The selected form of support for all actions under PO5 is grants. None of the supported actions are expected to generate a return. The use of financial instruments would therefore not be feasible as a form of support and would not be attractive to potential beneficiaries.</w:t>
            </w:r>
          </w:p>
          <w:p w14:paraId="1AF3471F" w14:textId="77777777" w:rsidR="00A77B3E" w:rsidRDefault="00A77B3E">
            <w:pPr>
              <w:spacing w:before="100"/>
              <w:rPr>
                <w:color w:val="000000"/>
                <w:sz w:val="6"/>
              </w:rPr>
            </w:pPr>
          </w:p>
          <w:p w14:paraId="01FC2205" w14:textId="77777777" w:rsidR="00A77B3E" w:rsidRDefault="00A77B3E">
            <w:pPr>
              <w:spacing w:before="100"/>
              <w:rPr>
                <w:color w:val="000000"/>
                <w:sz w:val="6"/>
              </w:rPr>
            </w:pPr>
          </w:p>
        </w:tc>
      </w:tr>
    </w:tbl>
    <w:p w14:paraId="7DDEA1C8" w14:textId="77777777" w:rsidR="00A77B3E" w:rsidRDefault="00A77B3E">
      <w:pPr>
        <w:spacing w:before="100"/>
        <w:rPr>
          <w:color w:val="000000"/>
        </w:rPr>
      </w:pPr>
    </w:p>
    <w:p w14:paraId="60F178A1" w14:textId="77777777" w:rsidR="00A77B3E" w:rsidRDefault="00000000">
      <w:pPr>
        <w:pStyle w:val="Heading4"/>
        <w:spacing w:before="100" w:after="0"/>
        <w:rPr>
          <w:b w:val="0"/>
          <w:color w:val="000000"/>
          <w:sz w:val="24"/>
        </w:rPr>
      </w:pPr>
      <w:bookmarkStart w:id="66" w:name="_Toc256000223"/>
      <w:r>
        <w:rPr>
          <w:b w:val="0"/>
          <w:color w:val="000000"/>
          <w:sz w:val="24"/>
        </w:rPr>
        <w:t>2.1.1.1.2. Indicators</w:t>
      </w:r>
      <w:bookmarkEnd w:id="66"/>
    </w:p>
    <w:p w14:paraId="2AADA5CF" w14:textId="77777777" w:rsidR="00A77B3E" w:rsidRDefault="00A77B3E">
      <w:pPr>
        <w:spacing w:before="100"/>
        <w:rPr>
          <w:color w:val="000000"/>
          <w:sz w:val="0"/>
        </w:rPr>
      </w:pPr>
    </w:p>
    <w:p w14:paraId="62BED090" w14:textId="77777777" w:rsidR="00A77B3E" w:rsidRDefault="00000000">
      <w:pPr>
        <w:spacing w:before="100"/>
        <w:rPr>
          <w:color w:val="000000"/>
          <w:sz w:val="0"/>
        </w:rPr>
      </w:pPr>
      <w:r>
        <w:rPr>
          <w:color w:val="000000"/>
        </w:rPr>
        <w:t>Reference: point (d)(ii) of Article 22(3) CPR and Article 8 ERDF and CF Regulation</w:t>
      </w:r>
    </w:p>
    <w:p w14:paraId="4D540066" w14:textId="77777777" w:rsidR="00A77B3E" w:rsidRDefault="00000000">
      <w:pPr>
        <w:pStyle w:val="Heading5"/>
        <w:spacing w:before="100" w:after="0"/>
        <w:rPr>
          <w:b w:val="0"/>
          <w:i w:val="0"/>
          <w:color w:val="000000"/>
          <w:sz w:val="24"/>
        </w:rPr>
      </w:pPr>
      <w:bookmarkStart w:id="67" w:name="_Toc256000224"/>
      <w:r>
        <w:rPr>
          <w:b w:val="0"/>
          <w:i w:val="0"/>
          <w:color w:val="000000"/>
          <w:sz w:val="24"/>
        </w:rPr>
        <w:t>Table 2: Output indicators</w:t>
      </w:r>
      <w:bookmarkEnd w:id="67"/>
    </w:p>
    <w:p w14:paraId="2AA02BF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569"/>
        <w:gridCol w:w="636"/>
        <w:gridCol w:w="1642"/>
        <w:gridCol w:w="838"/>
        <w:gridCol w:w="4801"/>
        <w:gridCol w:w="2202"/>
        <w:gridCol w:w="1514"/>
        <w:gridCol w:w="1234"/>
      </w:tblGrid>
      <w:tr w:rsidR="00B82D50" w14:paraId="0A1F07F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C34D37"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761072"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61BA9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40BA4E"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380EB1"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98534C"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C070E3"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B7A2FC" w14:textId="77777777" w:rsidR="00A77B3E" w:rsidRDefault="00000000">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F47451" w14:textId="77777777" w:rsidR="00A77B3E" w:rsidRDefault="00000000">
            <w:pPr>
              <w:spacing w:before="100"/>
              <w:jc w:val="center"/>
              <w:rPr>
                <w:color w:val="000000"/>
                <w:sz w:val="20"/>
              </w:rPr>
            </w:pPr>
            <w:r>
              <w:rPr>
                <w:color w:val="000000"/>
                <w:sz w:val="20"/>
              </w:rPr>
              <w:t>Target (2029)</w:t>
            </w:r>
          </w:p>
        </w:tc>
      </w:tr>
      <w:tr w:rsidR="00B82D50" w14:paraId="071CCB7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806B16"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991038"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101D65"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44787E"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CF5A94" w14:textId="77777777" w:rsidR="00A77B3E" w:rsidRDefault="00000000">
            <w:pPr>
              <w:spacing w:before="100"/>
              <w:rPr>
                <w:color w:val="000000"/>
                <w:sz w:val="20"/>
              </w:rPr>
            </w:pPr>
            <w:r>
              <w:rPr>
                <w:color w:val="000000"/>
                <w:sz w:val="20"/>
              </w:rPr>
              <w:t>RCO75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D2D3AD" w14:textId="77777777" w:rsidR="00A77B3E" w:rsidRDefault="00000000">
            <w:pPr>
              <w:spacing w:before="100"/>
              <w:rPr>
                <w:color w:val="000000"/>
                <w:sz w:val="20"/>
              </w:rPr>
            </w:pPr>
            <w:r>
              <w:rPr>
                <w:color w:val="000000"/>
                <w:sz w:val="20"/>
              </w:rPr>
              <w:t>Strategies for integrated territorial development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0F93FA" w14:textId="77777777" w:rsidR="00A77B3E" w:rsidRDefault="00000000">
            <w:pPr>
              <w:spacing w:before="100"/>
              <w:rPr>
                <w:color w:val="000000"/>
                <w:sz w:val="20"/>
              </w:rPr>
            </w:pPr>
            <w:r>
              <w:rPr>
                <w:color w:val="000000"/>
                <w:sz w:val="20"/>
              </w:rPr>
              <w:t>contributions to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ACA8AD" w14:textId="77777777" w:rsidR="00A77B3E" w:rsidRDefault="00000000">
            <w:pPr>
              <w:spacing w:before="100"/>
              <w:jc w:val="right"/>
              <w:rPr>
                <w:color w:val="000000"/>
                <w:sz w:val="20"/>
              </w:rPr>
            </w:pPr>
            <w:r>
              <w:rPr>
                <w:color w:val="000000"/>
                <w:sz w:val="20"/>
              </w:rPr>
              <w:t>7.00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CFB9EE" w14:textId="77777777" w:rsidR="00A77B3E" w:rsidRDefault="00000000">
            <w:pPr>
              <w:spacing w:before="100"/>
              <w:jc w:val="right"/>
              <w:rPr>
                <w:color w:val="000000"/>
                <w:sz w:val="20"/>
              </w:rPr>
            </w:pPr>
            <w:r>
              <w:rPr>
                <w:color w:val="000000"/>
                <w:sz w:val="20"/>
              </w:rPr>
              <w:t>14.00</w:t>
            </w:r>
          </w:p>
        </w:tc>
      </w:tr>
      <w:tr w:rsidR="00B82D50" w14:paraId="75A132D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B53158"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32FCE0"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1BD33F"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8408B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4FB689" w14:textId="77777777" w:rsidR="00A77B3E" w:rsidRDefault="00000000">
            <w:pPr>
              <w:spacing w:before="100"/>
              <w:rPr>
                <w:color w:val="000000"/>
                <w:sz w:val="20"/>
              </w:rPr>
            </w:pPr>
            <w:r>
              <w:rPr>
                <w:color w:val="000000"/>
                <w:sz w:val="20"/>
              </w:rPr>
              <w:t>RCO76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1AA659" w14:textId="77777777" w:rsidR="00A77B3E" w:rsidRDefault="00000000">
            <w:pPr>
              <w:spacing w:before="100"/>
              <w:rPr>
                <w:color w:val="000000"/>
                <w:sz w:val="20"/>
              </w:rPr>
            </w:pPr>
            <w:r>
              <w:rPr>
                <w:color w:val="000000"/>
                <w:sz w:val="20"/>
              </w:rPr>
              <w:t>Integrated projects for territorial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6C727B" w14:textId="77777777" w:rsidR="00A77B3E" w:rsidRDefault="00000000">
            <w:pPr>
              <w:spacing w:before="100"/>
              <w:rPr>
                <w:color w:val="000000"/>
                <w:sz w:val="20"/>
              </w:rPr>
            </w:pPr>
            <w:r>
              <w:rPr>
                <w:color w:val="000000"/>
                <w:sz w:val="20"/>
              </w:rPr>
              <w:t>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70C3D5"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15927B" w14:textId="77777777" w:rsidR="00A77B3E" w:rsidRDefault="00000000">
            <w:pPr>
              <w:spacing w:before="100"/>
              <w:jc w:val="right"/>
              <w:rPr>
                <w:color w:val="000000"/>
                <w:sz w:val="20"/>
              </w:rPr>
            </w:pPr>
            <w:r>
              <w:rPr>
                <w:color w:val="000000"/>
                <w:sz w:val="20"/>
              </w:rPr>
              <w:t>14.00</w:t>
            </w:r>
          </w:p>
        </w:tc>
      </w:tr>
      <w:tr w:rsidR="00B82D50" w14:paraId="593829F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27C70E"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0C4E69"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28E252"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7F24E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B785D7" w14:textId="77777777" w:rsidR="00A77B3E" w:rsidRDefault="00000000">
            <w:pPr>
              <w:spacing w:before="100"/>
              <w:rPr>
                <w:color w:val="000000"/>
                <w:sz w:val="20"/>
              </w:rPr>
            </w:pPr>
            <w:r>
              <w:rPr>
                <w:color w:val="000000"/>
                <w:sz w:val="20"/>
              </w:rPr>
              <w:t>RCO114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964D5E" w14:textId="77777777" w:rsidR="00A77B3E" w:rsidRDefault="00000000">
            <w:pPr>
              <w:spacing w:before="100"/>
              <w:rPr>
                <w:color w:val="000000"/>
                <w:sz w:val="20"/>
              </w:rPr>
            </w:pPr>
            <w:r>
              <w:rPr>
                <w:color w:val="000000"/>
                <w:sz w:val="20"/>
              </w:rPr>
              <w:t>Open space created or rehabilitated in urban areas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22D4D5" w14:textId="77777777" w:rsidR="00A77B3E" w:rsidRDefault="00000000">
            <w:pPr>
              <w:spacing w:before="100"/>
              <w:rPr>
                <w:color w:val="000000"/>
                <w:sz w:val="20"/>
              </w:rPr>
            </w:pPr>
            <w:r>
              <w:rPr>
                <w:color w:val="000000"/>
                <w:sz w:val="20"/>
              </w:rPr>
              <w:t xml:space="preserve">square </w:t>
            </w:r>
            <w:proofErr w:type="spellStart"/>
            <w:r>
              <w:rPr>
                <w:color w:val="000000"/>
                <w:sz w:val="20"/>
              </w:rPr>
              <w:t>metres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4BC65F"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05FFEE" w14:textId="77777777" w:rsidR="00A77B3E" w:rsidRDefault="00000000">
            <w:pPr>
              <w:spacing w:before="100"/>
              <w:jc w:val="right"/>
              <w:rPr>
                <w:color w:val="000000"/>
                <w:sz w:val="20"/>
              </w:rPr>
            </w:pPr>
            <w:r>
              <w:rPr>
                <w:color w:val="000000"/>
                <w:sz w:val="20"/>
              </w:rPr>
              <w:t>32,200.00</w:t>
            </w:r>
          </w:p>
        </w:tc>
      </w:tr>
    </w:tbl>
    <w:p w14:paraId="5AB001FD" w14:textId="77777777" w:rsidR="00A77B3E" w:rsidRDefault="00A77B3E">
      <w:pPr>
        <w:spacing w:before="100"/>
        <w:rPr>
          <w:color w:val="000000"/>
          <w:sz w:val="20"/>
        </w:rPr>
      </w:pPr>
    </w:p>
    <w:p w14:paraId="2D492565" w14:textId="77777777" w:rsidR="00A77B3E" w:rsidRDefault="00000000">
      <w:pPr>
        <w:spacing w:before="100"/>
        <w:rPr>
          <w:color w:val="000000"/>
          <w:sz w:val="0"/>
        </w:rPr>
      </w:pPr>
      <w:r>
        <w:rPr>
          <w:color w:val="000000"/>
        </w:rPr>
        <w:t>Reference: point (d)(ii) of Article 22(3) CPR</w:t>
      </w:r>
    </w:p>
    <w:p w14:paraId="6A2C6F67" w14:textId="77777777" w:rsidR="00A77B3E" w:rsidRDefault="00000000">
      <w:pPr>
        <w:pStyle w:val="Heading5"/>
        <w:spacing w:before="100" w:after="0"/>
        <w:rPr>
          <w:b w:val="0"/>
          <w:i w:val="0"/>
          <w:color w:val="000000"/>
          <w:sz w:val="24"/>
        </w:rPr>
      </w:pPr>
      <w:bookmarkStart w:id="68" w:name="_Toc256000225"/>
      <w:r>
        <w:rPr>
          <w:b w:val="0"/>
          <w:i w:val="0"/>
          <w:color w:val="000000"/>
          <w:sz w:val="24"/>
        </w:rPr>
        <w:t>Table 3: Result indicators</w:t>
      </w:r>
      <w:bookmarkEnd w:id="68"/>
    </w:p>
    <w:p w14:paraId="45BAA8D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981"/>
        <w:gridCol w:w="632"/>
        <w:gridCol w:w="1066"/>
        <w:gridCol w:w="676"/>
        <w:gridCol w:w="1998"/>
        <w:gridCol w:w="1274"/>
        <w:gridCol w:w="1123"/>
        <w:gridCol w:w="1010"/>
        <w:gridCol w:w="757"/>
        <w:gridCol w:w="793"/>
        <w:gridCol w:w="4129"/>
      </w:tblGrid>
      <w:tr w:rsidR="00B82D50" w14:paraId="1730683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EC4BEC"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297454"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607AF5"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59C492"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D6FE63"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EA04A4"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C0D7FB"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2A67D7" w14:textId="77777777" w:rsidR="00A77B3E" w:rsidRDefault="00000000">
            <w:pPr>
              <w:spacing w:before="100"/>
              <w:jc w:val="center"/>
              <w:rPr>
                <w:color w:val="000000"/>
                <w:sz w:val="20"/>
              </w:rPr>
            </w:pPr>
            <w:r>
              <w:rPr>
                <w:color w:val="000000"/>
                <w:sz w:val="20"/>
              </w:rPr>
              <w:t>Baseline or reference value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DE6AAA" w14:textId="77777777" w:rsidR="00A77B3E" w:rsidRDefault="00000000">
            <w:pPr>
              <w:spacing w:before="100"/>
              <w:jc w:val="center"/>
              <w:rPr>
                <w:color w:val="000000"/>
                <w:sz w:val="20"/>
              </w:rPr>
            </w:pPr>
            <w:r>
              <w:rPr>
                <w:color w:val="000000"/>
                <w:sz w:val="20"/>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AEC124" w14:textId="77777777" w:rsidR="00A77B3E" w:rsidRDefault="00000000">
            <w:pPr>
              <w:spacing w:before="100"/>
              <w:jc w:val="center"/>
              <w:rPr>
                <w:color w:val="000000"/>
                <w:sz w:val="20"/>
              </w:rPr>
            </w:pPr>
            <w:r>
              <w:rPr>
                <w:color w:val="000000"/>
                <w:sz w:val="20"/>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346390" w14:textId="77777777" w:rsidR="00A77B3E" w:rsidRDefault="00000000">
            <w:pPr>
              <w:spacing w:before="100"/>
              <w:jc w:val="center"/>
              <w:rPr>
                <w:color w:val="000000"/>
                <w:sz w:val="20"/>
              </w:rPr>
            </w:pPr>
            <w:r>
              <w:rPr>
                <w:color w:val="000000"/>
                <w:sz w:val="20"/>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DC4ADA" w14:textId="77777777" w:rsidR="00A77B3E" w:rsidRDefault="00000000">
            <w:pPr>
              <w:spacing w:before="100"/>
              <w:jc w:val="center"/>
              <w:rPr>
                <w:color w:val="000000"/>
                <w:sz w:val="20"/>
              </w:rPr>
            </w:pPr>
            <w:r>
              <w:rPr>
                <w:color w:val="000000"/>
                <w:sz w:val="20"/>
              </w:rPr>
              <w:t>Comments</w:t>
            </w:r>
          </w:p>
        </w:tc>
      </w:tr>
      <w:tr w:rsidR="00B82D50" w14:paraId="0F2F8DB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1B93DF"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04B631"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CE4A06"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FA81F3"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5822D7" w14:textId="77777777" w:rsidR="00A77B3E" w:rsidRDefault="00000000">
            <w:pPr>
              <w:spacing w:before="100"/>
              <w:rPr>
                <w:color w:val="000000"/>
                <w:sz w:val="20"/>
              </w:rPr>
            </w:pPr>
            <w:r>
              <w:rPr>
                <w:color w:val="000000"/>
                <w:sz w:val="20"/>
              </w:rPr>
              <w:t>PSR05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3D6A99" w14:textId="77777777" w:rsidR="00A77B3E" w:rsidRDefault="00000000">
            <w:pPr>
              <w:spacing w:before="100"/>
              <w:rPr>
                <w:color w:val="000000"/>
                <w:sz w:val="20"/>
              </w:rPr>
            </w:pPr>
            <w:r>
              <w:rPr>
                <w:color w:val="000000"/>
                <w:sz w:val="20"/>
              </w:rPr>
              <w:t xml:space="preserve">Perceived impact of supported projects on </w:t>
            </w:r>
            <w:proofErr w:type="spellStart"/>
            <w:r>
              <w:rPr>
                <w:color w:val="000000"/>
                <w:sz w:val="20"/>
              </w:rPr>
              <w:t>revitalisation</w:t>
            </w:r>
            <w:proofErr w:type="spellEnd"/>
            <w:r>
              <w:rPr>
                <w:color w:val="000000"/>
                <w:sz w:val="20"/>
              </w:rPr>
              <w:t xml:space="preserve"> of town </w:t>
            </w:r>
            <w:proofErr w:type="spellStart"/>
            <w:r>
              <w:rPr>
                <w:color w:val="000000"/>
                <w:sz w:val="20"/>
              </w:rPr>
              <w:t>centre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2F36EA" w14:textId="77777777" w:rsidR="00A77B3E" w:rsidRDefault="00000000">
            <w:pPr>
              <w:spacing w:before="100"/>
              <w:rPr>
                <w:color w:val="000000"/>
                <w:sz w:val="20"/>
              </w:rPr>
            </w:pPr>
            <w:r>
              <w:rPr>
                <w:color w:val="000000"/>
                <w:sz w:val="20"/>
              </w:rPr>
              <w:t>Score (-5 to +5)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5A85D9"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CDC3AE" w14:textId="77777777" w:rsidR="00A77B3E" w:rsidRDefault="00000000">
            <w:pPr>
              <w:spacing w:before="100"/>
              <w:jc w:val="center"/>
              <w:rPr>
                <w:color w:val="000000"/>
                <w:sz w:val="20"/>
              </w:rPr>
            </w:pPr>
            <w:r>
              <w:rPr>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8A8A0" w14:textId="77777777" w:rsidR="00A77B3E" w:rsidRDefault="00000000">
            <w:pPr>
              <w:spacing w:before="100"/>
              <w:jc w:val="right"/>
              <w:rPr>
                <w:color w:val="000000"/>
                <w:sz w:val="20"/>
              </w:rPr>
            </w:pPr>
            <w:r>
              <w:rPr>
                <w:color w:val="000000"/>
                <w:sz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C9E7BA" w14:textId="77777777" w:rsidR="00A77B3E" w:rsidRDefault="00000000">
            <w:pPr>
              <w:spacing w:before="100"/>
              <w:rPr>
                <w:color w:val="000000"/>
                <w:sz w:val="20"/>
              </w:rPr>
            </w:pPr>
            <w:r>
              <w:rPr>
                <w:color w:val="000000"/>
                <w:sz w:val="20"/>
              </w:rPr>
              <w:t>Survey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CBB019" w14:textId="77777777" w:rsidR="00A77B3E" w:rsidRDefault="00000000">
            <w:pPr>
              <w:spacing w:before="100"/>
              <w:rPr>
                <w:color w:val="000000"/>
                <w:sz w:val="20"/>
              </w:rPr>
            </w:pPr>
            <w:r>
              <w:rPr>
                <w:color w:val="000000"/>
                <w:sz w:val="20"/>
              </w:rPr>
              <w:t xml:space="preserve">A survey will be designed to measure the perceived impact (positive and negative) of supported projects on the </w:t>
            </w:r>
            <w:proofErr w:type="spellStart"/>
            <w:r>
              <w:rPr>
                <w:color w:val="000000"/>
                <w:sz w:val="20"/>
              </w:rPr>
              <w:t>revitalisation</w:t>
            </w:r>
            <w:proofErr w:type="spellEnd"/>
            <w:r>
              <w:rPr>
                <w:color w:val="000000"/>
                <w:sz w:val="20"/>
              </w:rPr>
              <w:t xml:space="preserve"> of the town </w:t>
            </w:r>
            <w:proofErr w:type="spellStart"/>
            <w:r>
              <w:rPr>
                <w:color w:val="000000"/>
                <w:sz w:val="20"/>
              </w:rPr>
              <w:t>centre</w:t>
            </w:r>
            <w:proofErr w:type="spellEnd"/>
            <w:r>
              <w:rPr>
                <w:color w:val="000000"/>
                <w:sz w:val="20"/>
              </w:rPr>
              <w:t xml:space="preserve">. The score will be supplemented by </w:t>
            </w:r>
            <w:proofErr w:type="spellStart"/>
            <w:r>
              <w:rPr>
                <w:color w:val="000000"/>
                <w:sz w:val="20"/>
              </w:rPr>
              <w:t>qualititative</w:t>
            </w:r>
            <w:proofErr w:type="spellEnd"/>
            <w:r>
              <w:rPr>
                <w:color w:val="000000"/>
                <w:sz w:val="20"/>
              </w:rPr>
              <w:t xml:space="preserve"> data to aid evaluation. </w:t>
            </w:r>
          </w:p>
        </w:tc>
      </w:tr>
    </w:tbl>
    <w:p w14:paraId="2E5C8F21" w14:textId="77777777" w:rsidR="00A77B3E" w:rsidRDefault="00A77B3E">
      <w:pPr>
        <w:spacing w:before="100"/>
        <w:rPr>
          <w:color w:val="000000"/>
          <w:sz w:val="20"/>
        </w:rPr>
      </w:pPr>
    </w:p>
    <w:p w14:paraId="2FEBC32D" w14:textId="77777777" w:rsidR="00A77B3E" w:rsidRDefault="00000000">
      <w:pPr>
        <w:pStyle w:val="Heading4"/>
        <w:spacing w:before="100" w:after="0"/>
        <w:rPr>
          <w:b w:val="0"/>
          <w:color w:val="000000"/>
          <w:sz w:val="24"/>
        </w:rPr>
      </w:pPr>
      <w:bookmarkStart w:id="69" w:name="_Toc256000226"/>
      <w:r>
        <w:rPr>
          <w:b w:val="0"/>
          <w:color w:val="000000"/>
          <w:sz w:val="24"/>
        </w:rPr>
        <w:t>2.1.1.1.3. Indicative breakdown of the programmed resources (EU) by type of intervention</w:t>
      </w:r>
      <w:bookmarkEnd w:id="69"/>
    </w:p>
    <w:p w14:paraId="02AB5531" w14:textId="77777777" w:rsidR="00A77B3E" w:rsidRDefault="00A77B3E">
      <w:pPr>
        <w:spacing w:before="100"/>
        <w:rPr>
          <w:color w:val="000000"/>
          <w:sz w:val="0"/>
        </w:rPr>
      </w:pPr>
    </w:p>
    <w:p w14:paraId="01EFE2FD" w14:textId="77777777" w:rsidR="00A77B3E" w:rsidRDefault="00000000">
      <w:pPr>
        <w:spacing w:before="100"/>
        <w:rPr>
          <w:color w:val="000000"/>
          <w:sz w:val="0"/>
        </w:rPr>
      </w:pPr>
      <w:r>
        <w:rPr>
          <w:color w:val="000000"/>
        </w:rPr>
        <w:t>Reference: point (d)(viii) of Article 22(3) CPR</w:t>
      </w:r>
    </w:p>
    <w:p w14:paraId="6AE3C180" w14:textId="77777777" w:rsidR="00A77B3E" w:rsidRDefault="00000000">
      <w:pPr>
        <w:pStyle w:val="Heading5"/>
        <w:spacing w:before="100" w:after="0"/>
        <w:rPr>
          <w:b w:val="0"/>
          <w:i w:val="0"/>
          <w:color w:val="000000"/>
          <w:sz w:val="24"/>
        </w:rPr>
      </w:pPr>
      <w:bookmarkStart w:id="70" w:name="_Toc256000227"/>
      <w:r>
        <w:rPr>
          <w:b w:val="0"/>
          <w:i w:val="0"/>
          <w:color w:val="000000"/>
          <w:sz w:val="24"/>
        </w:rPr>
        <w:t>Table 4: Dimension 1 - intervention field</w:t>
      </w:r>
      <w:bookmarkEnd w:id="70"/>
    </w:p>
    <w:p w14:paraId="3E83482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845"/>
        <w:gridCol w:w="748"/>
        <w:gridCol w:w="1930"/>
        <w:gridCol w:w="8174"/>
        <w:gridCol w:w="1608"/>
      </w:tblGrid>
      <w:tr w:rsidR="00B82D50" w14:paraId="2795D14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74C249"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4E3F7E"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E67780"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834238"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901438"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6472D3" w14:textId="77777777" w:rsidR="00A77B3E" w:rsidRDefault="00000000">
            <w:pPr>
              <w:spacing w:before="100"/>
              <w:jc w:val="center"/>
              <w:rPr>
                <w:color w:val="000000"/>
                <w:sz w:val="20"/>
              </w:rPr>
            </w:pPr>
            <w:r>
              <w:rPr>
                <w:color w:val="000000"/>
                <w:sz w:val="20"/>
              </w:rPr>
              <w:t>Amount (EUR)</w:t>
            </w:r>
          </w:p>
        </w:tc>
      </w:tr>
      <w:tr w:rsidR="00B82D50" w14:paraId="5DA3E7E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89AB31"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7944F3"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57096D"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116AD9"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3CCEE9" w14:textId="77777777" w:rsidR="00A77B3E" w:rsidRDefault="00000000">
            <w:pPr>
              <w:spacing w:before="100"/>
              <w:rPr>
                <w:color w:val="000000"/>
                <w:sz w:val="20"/>
              </w:rPr>
            </w:pPr>
            <w:r>
              <w:rPr>
                <w:color w:val="000000"/>
                <w:sz w:val="20"/>
              </w:rPr>
              <w:t>168. Physical regeneration and security of public spaces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DAB6CF" w14:textId="77777777" w:rsidR="00A77B3E" w:rsidRDefault="00000000">
            <w:pPr>
              <w:spacing w:before="100"/>
              <w:jc w:val="right"/>
              <w:rPr>
                <w:color w:val="000000"/>
                <w:sz w:val="20"/>
              </w:rPr>
            </w:pPr>
            <w:r>
              <w:rPr>
                <w:color w:val="000000"/>
                <w:sz w:val="20"/>
              </w:rPr>
              <w:t>34,567,569.00</w:t>
            </w:r>
          </w:p>
        </w:tc>
      </w:tr>
      <w:tr w:rsidR="00B82D50" w14:paraId="1D22B07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049EC6"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4BF68E"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3EA3B1"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1A8BC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702569" w14:textId="77777777" w:rsidR="00A77B3E" w:rsidRDefault="00000000">
            <w:pPr>
              <w:spacing w:before="100"/>
              <w:rPr>
                <w:color w:val="000000"/>
                <w:sz w:val="20"/>
              </w:rPr>
            </w:pPr>
            <w:r>
              <w:rPr>
                <w:color w:val="000000"/>
                <w:sz w:val="20"/>
              </w:rPr>
              <w:t>169. Territorial development initiatives, including preparation of territorial strategies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57ECC2" w14:textId="77777777" w:rsidR="00A77B3E" w:rsidRDefault="00000000">
            <w:pPr>
              <w:spacing w:before="100"/>
              <w:jc w:val="right"/>
              <w:rPr>
                <w:color w:val="000000"/>
                <w:sz w:val="20"/>
              </w:rPr>
            </w:pPr>
            <w:r>
              <w:rPr>
                <w:color w:val="000000"/>
                <w:sz w:val="20"/>
              </w:rPr>
              <w:t>3,000,000.00</w:t>
            </w:r>
          </w:p>
        </w:tc>
      </w:tr>
      <w:tr w:rsidR="00B82D50" w14:paraId="06E87B8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D94F00"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B8978D"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9AF348"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74030B"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A5C0CC"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E21912" w14:textId="77777777" w:rsidR="00A77B3E" w:rsidRDefault="00000000">
            <w:pPr>
              <w:spacing w:before="100"/>
              <w:jc w:val="right"/>
              <w:rPr>
                <w:color w:val="000000"/>
                <w:sz w:val="20"/>
              </w:rPr>
            </w:pPr>
            <w:r>
              <w:rPr>
                <w:color w:val="000000"/>
                <w:sz w:val="20"/>
              </w:rPr>
              <w:t>37,567,569.00</w:t>
            </w:r>
          </w:p>
        </w:tc>
      </w:tr>
    </w:tbl>
    <w:p w14:paraId="1FD83939" w14:textId="77777777" w:rsidR="00A77B3E" w:rsidRDefault="00A77B3E">
      <w:pPr>
        <w:spacing w:before="100"/>
        <w:rPr>
          <w:color w:val="000000"/>
          <w:sz w:val="20"/>
        </w:rPr>
      </w:pPr>
    </w:p>
    <w:p w14:paraId="4517FC40" w14:textId="77777777" w:rsidR="00A77B3E" w:rsidRDefault="00000000">
      <w:pPr>
        <w:pStyle w:val="Heading5"/>
        <w:spacing w:before="100" w:after="0"/>
        <w:rPr>
          <w:b w:val="0"/>
          <w:i w:val="0"/>
          <w:color w:val="000000"/>
          <w:sz w:val="24"/>
        </w:rPr>
      </w:pPr>
      <w:bookmarkStart w:id="71" w:name="_Toc256000228"/>
      <w:r>
        <w:rPr>
          <w:b w:val="0"/>
          <w:i w:val="0"/>
          <w:color w:val="000000"/>
          <w:sz w:val="24"/>
        </w:rPr>
        <w:t>Table 5: Dimension 2 - form of financing</w:t>
      </w:r>
      <w:bookmarkEnd w:id="71"/>
    </w:p>
    <w:p w14:paraId="4434F41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84"/>
        <w:gridCol w:w="1412"/>
        <w:gridCol w:w="3645"/>
        <w:gridCol w:w="1958"/>
        <w:gridCol w:w="3037"/>
      </w:tblGrid>
      <w:tr w:rsidR="00B82D50" w14:paraId="5789FA8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853C8C"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709C0E"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1F8CB8"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663B32"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F9CA86"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DB5CF6" w14:textId="77777777" w:rsidR="00A77B3E" w:rsidRDefault="00000000">
            <w:pPr>
              <w:spacing w:before="100"/>
              <w:jc w:val="center"/>
              <w:rPr>
                <w:color w:val="000000"/>
                <w:sz w:val="20"/>
              </w:rPr>
            </w:pPr>
            <w:r>
              <w:rPr>
                <w:color w:val="000000"/>
                <w:sz w:val="20"/>
              </w:rPr>
              <w:t>Amount (EUR)</w:t>
            </w:r>
          </w:p>
        </w:tc>
      </w:tr>
      <w:tr w:rsidR="00B82D50" w14:paraId="4B4B48A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5CA026"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78CEDB"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A4ADD4"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AD8B09"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BBBD33" w14:textId="77777777" w:rsidR="00A77B3E" w:rsidRDefault="00000000">
            <w:pPr>
              <w:spacing w:before="100"/>
              <w:rPr>
                <w:color w:val="000000"/>
                <w:sz w:val="20"/>
              </w:rPr>
            </w:pPr>
            <w:r>
              <w:rPr>
                <w:color w:val="000000"/>
                <w:sz w:val="2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561AB4" w14:textId="77777777" w:rsidR="00A77B3E" w:rsidRDefault="00000000">
            <w:pPr>
              <w:spacing w:before="100"/>
              <w:jc w:val="right"/>
              <w:rPr>
                <w:color w:val="000000"/>
                <w:sz w:val="20"/>
              </w:rPr>
            </w:pPr>
            <w:r>
              <w:rPr>
                <w:color w:val="000000"/>
                <w:sz w:val="20"/>
              </w:rPr>
              <w:t>37,567,569.00</w:t>
            </w:r>
          </w:p>
        </w:tc>
      </w:tr>
      <w:tr w:rsidR="00B82D50" w14:paraId="4ECB22B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2FF429"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B67E2C"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131715"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6943D7"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5C6652"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CE421D" w14:textId="77777777" w:rsidR="00A77B3E" w:rsidRDefault="00000000">
            <w:pPr>
              <w:spacing w:before="100"/>
              <w:jc w:val="right"/>
              <w:rPr>
                <w:color w:val="000000"/>
                <w:sz w:val="20"/>
              </w:rPr>
            </w:pPr>
            <w:r>
              <w:rPr>
                <w:color w:val="000000"/>
                <w:sz w:val="20"/>
              </w:rPr>
              <w:t>37,567,569.00</w:t>
            </w:r>
          </w:p>
        </w:tc>
      </w:tr>
    </w:tbl>
    <w:p w14:paraId="61FF613A" w14:textId="77777777" w:rsidR="00A77B3E" w:rsidRDefault="00A77B3E">
      <w:pPr>
        <w:spacing w:before="100"/>
        <w:rPr>
          <w:color w:val="000000"/>
          <w:sz w:val="20"/>
        </w:rPr>
      </w:pPr>
    </w:p>
    <w:p w14:paraId="1D41E85B" w14:textId="77777777" w:rsidR="00A77B3E" w:rsidRDefault="00000000">
      <w:pPr>
        <w:pStyle w:val="Heading5"/>
        <w:spacing w:before="100" w:after="0"/>
        <w:rPr>
          <w:b w:val="0"/>
          <w:i w:val="0"/>
          <w:color w:val="000000"/>
          <w:sz w:val="24"/>
        </w:rPr>
      </w:pPr>
      <w:bookmarkStart w:id="72" w:name="_Toc256000229"/>
      <w:r>
        <w:rPr>
          <w:b w:val="0"/>
          <w:i w:val="0"/>
          <w:color w:val="000000"/>
          <w:sz w:val="24"/>
        </w:rPr>
        <w:t>Table 6: Dimension 3 – territorial delivery mechanism and territorial focus</w:t>
      </w:r>
      <w:bookmarkEnd w:id="72"/>
    </w:p>
    <w:p w14:paraId="047BAF5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2193"/>
        <w:gridCol w:w="889"/>
        <w:gridCol w:w="2294"/>
        <w:gridCol w:w="6856"/>
        <w:gridCol w:w="1911"/>
      </w:tblGrid>
      <w:tr w:rsidR="00B82D50" w14:paraId="2F7E2E5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01A27A"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C2D2F4"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2389B1"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664E33"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D2E0F5"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80CD618" w14:textId="77777777" w:rsidR="00A77B3E" w:rsidRDefault="00000000">
            <w:pPr>
              <w:spacing w:before="100"/>
              <w:jc w:val="center"/>
              <w:rPr>
                <w:color w:val="000000"/>
                <w:sz w:val="20"/>
              </w:rPr>
            </w:pPr>
            <w:r>
              <w:rPr>
                <w:color w:val="000000"/>
                <w:sz w:val="20"/>
              </w:rPr>
              <w:t>Amount (EUR)</w:t>
            </w:r>
          </w:p>
        </w:tc>
      </w:tr>
      <w:tr w:rsidR="00B82D50" w14:paraId="12F0067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C37381"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32D76E"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7F805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6A3F6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0E1632" w14:textId="77777777" w:rsidR="00A77B3E" w:rsidRDefault="00000000">
            <w:pPr>
              <w:spacing w:before="100"/>
              <w:rPr>
                <w:color w:val="000000"/>
                <w:sz w:val="20"/>
              </w:rPr>
            </w:pPr>
            <w:r>
              <w:rPr>
                <w:color w:val="000000"/>
                <w:sz w:val="20"/>
              </w:rPr>
              <w:t>18. Other type of territorial tool - Cities, towns and suburbs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67194" w14:textId="77777777" w:rsidR="00A77B3E" w:rsidRDefault="00000000">
            <w:pPr>
              <w:spacing w:before="100"/>
              <w:jc w:val="right"/>
              <w:rPr>
                <w:color w:val="000000"/>
                <w:sz w:val="20"/>
              </w:rPr>
            </w:pPr>
            <w:r>
              <w:rPr>
                <w:color w:val="000000"/>
                <w:sz w:val="20"/>
              </w:rPr>
              <w:t>37,567,569.00</w:t>
            </w:r>
          </w:p>
        </w:tc>
      </w:tr>
      <w:tr w:rsidR="00B82D50" w14:paraId="373758D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34086D"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33FC3C"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0844F"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C07D94"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9E570E"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7E8814" w14:textId="77777777" w:rsidR="00A77B3E" w:rsidRDefault="00000000">
            <w:pPr>
              <w:spacing w:before="100"/>
              <w:jc w:val="right"/>
              <w:rPr>
                <w:color w:val="000000"/>
                <w:sz w:val="20"/>
              </w:rPr>
            </w:pPr>
            <w:r>
              <w:rPr>
                <w:color w:val="000000"/>
                <w:sz w:val="20"/>
              </w:rPr>
              <w:t>37,567,569.00</w:t>
            </w:r>
          </w:p>
        </w:tc>
      </w:tr>
    </w:tbl>
    <w:p w14:paraId="6158B17C" w14:textId="77777777" w:rsidR="00A77B3E" w:rsidRDefault="00A77B3E">
      <w:pPr>
        <w:spacing w:before="100"/>
        <w:rPr>
          <w:color w:val="000000"/>
          <w:sz w:val="20"/>
        </w:rPr>
      </w:pPr>
    </w:p>
    <w:p w14:paraId="229DB96A" w14:textId="77777777" w:rsidR="00A77B3E" w:rsidRDefault="00000000">
      <w:pPr>
        <w:pStyle w:val="Heading5"/>
        <w:spacing w:before="100" w:after="0"/>
        <w:rPr>
          <w:b w:val="0"/>
          <w:i w:val="0"/>
          <w:color w:val="000000"/>
          <w:sz w:val="24"/>
        </w:rPr>
      </w:pPr>
      <w:bookmarkStart w:id="73" w:name="_Toc256000230"/>
      <w:r>
        <w:rPr>
          <w:b w:val="0"/>
          <w:i w:val="0"/>
          <w:color w:val="000000"/>
          <w:sz w:val="24"/>
        </w:rPr>
        <w:t>Table 7: Dimension 6 – ESF+ secondary themes</w:t>
      </w:r>
      <w:bookmarkEnd w:id="73"/>
    </w:p>
    <w:p w14:paraId="17DEE96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21"/>
        <w:gridCol w:w="1270"/>
        <w:gridCol w:w="3893"/>
        <w:gridCol w:w="1296"/>
        <w:gridCol w:w="3244"/>
      </w:tblGrid>
      <w:tr w:rsidR="00B82D50" w14:paraId="74B6D6D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AD02B6"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4DE857"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D744D9"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78FA3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250C51"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565990" w14:textId="77777777" w:rsidR="00A77B3E" w:rsidRDefault="00000000">
            <w:pPr>
              <w:spacing w:before="100"/>
              <w:jc w:val="center"/>
              <w:rPr>
                <w:color w:val="000000"/>
                <w:sz w:val="20"/>
              </w:rPr>
            </w:pPr>
            <w:r>
              <w:rPr>
                <w:color w:val="000000"/>
                <w:sz w:val="20"/>
              </w:rPr>
              <w:t>Amount (EUR)</w:t>
            </w:r>
          </w:p>
        </w:tc>
      </w:tr>
    </w:tbl>
    <w:p w14:paraId="255D7EFB" w14:textId="77777777" w:rsidR="00A77B3E" w:rsidRDefault="00A77B3E">
      <w:pPr>
        <w:spacing w:before="100"/>
        <w:rPr>
          <w:color w:val="000000"/>
          <w:sz w:val="20"/>
        </w:rPr>
      </w:pPr>
    </w:p>
    <w:p w14:paraId="0EDD1A8F" w14:textId="77777777" w:rsidR="00A77B3E" w:rsidRDefault="00000000">
      <w:pPr>
        <w:pStyle w:val="Heading5"/>
        <w:spacing w:before="100" w:after="0"/>
        <w:rPr>
          <w:b w:val="0"/>
          <w:i w:val="0"/>
          <w:color w:val="000000"/>
          <w:sz w:val="24"/>
        </w:rPr>
      </w:pPr>
      <w:bookmarkStart w:id="74" w:name="_Toc256000231"/>
      <w:r>
        <w:rPr>
          <w:b w:val="0"/>
          <w:i w:val="0"/>
          <w:color w:val="000000"/>
          <w:sz w:val="24"/>
        </w:rPr>
        <w:t>Table 8: Dimension 7 – ESF+*, ERDF, Cohesion Fund and JTF gender equality dimension</w:t>
      </w:r>
      <w:bookmarkEnd w:id="74"/>
    </w:p>
    <w:p w14:paraId="53509C5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3142"/>
        <w:gridCol w:w="1274"/>
        <w:gridCol w:w="3288"/>
        <w:gridCol w:w="3253"/>
        <w:gridCol w:w="2739"/>
      </w:tblGrid>
      <w:tr w:rsidR="00B82D50" w14:paraId="1CD455B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8A9EE1"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FDFF72"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3D8CDD"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51A29A"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D796C8"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C05045" w14:textId="77777777" w:rsidR="00A77B3E" w:rsidRDefault="00000000">
            <w:pPr>
              <w:spacing w:before="100"/>
              <w:jc w:val="center"/>
              <w:rPr>
                <w:color w:val="000000"/>
                <w:sz w:val="20"/>
              </w:rPr>
            </w:pPr>
            <w:r>
              <w:rPr>
                <w:color w:val="000000"/>
                <w:sz w:val="20"/>
              </w:rPr>
              <w:t>Amount (EUR)</w:t>
            </w:r>
          </w:p>
        </w:tc>
      </w:tr>
      <w:tr w:rsidR="00B82D50" w14:paraId="297E2AF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E8822E" w14:textId="77777777" w:rsidR="00A77B3E" w:rsidRDefault="00000000">
            <w:pPr>
              <w:spacing w:before="100"/>
              <w:rPr>
                <w:color w:val="000000"/>
                <w:sz w:val="20"/>
              </w:rPr>
            </w:pPr>
            <w:r>
              <w:rPr>
                <w:color w:val="000000"/>
                <w:sz w:val="20"/>
              </w:rPr>
              <w:lastRenderedPageBreak/>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6E37F"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E24F3D"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06914E"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013560" w14:textId="77777777" w:rsidR="00A77B3E" w:rsidRDefault="00000000">
            <w:pPr>
              <w:spacing w:before="100"/>
              <w:rPr>
                <w:color w:val="000000"/>
                <w:sz w:val="20"/>
              </w:rPr>
            </w:pPr>
            <w:r>
              <w:rPr>
                <w:color w:val="000000"/>
                <w:sz w:val="20"/>
              </w:rPr>
              <w:t>03. Gender neutral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698E1F" w14:textId="77777777" w:rsidR="00A77B3E" w:rsidRDefault="00000000">
            <w:pPr>
              <w:spacing w:before="100"/>
              <w:jc w:val="right"/>
              <w:rPr>
                <w:color w:val="000000"/>
                <w:sz w:val="20"/>
              </w:rPr>
            </w:pPr>
            <w:r>
              <w:rPr>
                <w:color w:val="000000"/>
                <w:sz w:val="20"/>
              </w:rPr>
              <w:t>37,567,569.00</w:t>
            </w:r>
          </w:p>
        </w:tc>
      </w:tr>
      <w:tr w:rsidR="00B82D50" w14:paraId="7EAC2C1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43B25A" w14:textId="77777777" w:rsidR="00A77B3E" w:rsidRDefault="00000000">
            <w:pPr>
              <w:spacing w:before="100"/>
              <w:rPr>
                <w:color w:val="000000"/>
                <w:sz w:val="20"/>
              </w:rPr>
            </w:pPr>
            <w:r>
              <w:rPr>
                <w:color w:val="000000"/>
                <w:sz w:val="20"/>
              </w:rPr>
              <w:t>SEM3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1E185E" w14:textId="77777777" w:rsidR="00A77B3E" w:rsidRDefault="00000000">
            <w:pPr>
              <w:spacing w:before="100"/>
              <w:rPr>
                <w:color w:val="000000"/>
                <w:sz w:val="20"/>
              </w:rPr>
            </w:pPr>
            <w:r>
              <w:rPr>
                <w:color w:val="000000"/>
                <w:sz w:val="20"/>
              </w:rPr>
              <w:t>RSO5.1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97052"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76A6AB"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E4E6C1"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7564E3" w14:textId="77777777" w:rsidR="00A77B3E" w:rsidRDefault="00000000">
            <w:pPr>
              <w:spacing w:before="100"/>
              <w:jc w:val="right"/>
              <w:rPr>
                <w:color w:val="000000"/>
                <w:sz w:val="20"/>
              </w:rPr>
            </w:pPr>
            <w:r>
              <w:rPr>
                <w:color w:val="000000"/>
                <w:sz w:val="20"/>
              </w:rPr>
              <w:t>37,567,569.00</w:t>
            </w:r>
          </w:p>
        </w:tc>
      </w:tr>
    </w:tbl>
    <w:p w14:paraId="2E2416BE" w14:textId="77777777" w:rsidR="00A77B3E" w:rsidRDefault="00000000">
      <w:pPr>
        <w:spacing w:before="100"/>
        <w:rPr>
          <w:color w:val="000000"/>
          <w:sz w:val="20"/>
        </w:rPr>
      </w:pPr>
      <w:r>
        <w:rPr>
          <w:color w:val="000000"/>
          <w:sz w:val="20"/>
        </w:rPr>
        <w:t>* In principle, 40 % for the ESF+ contributes to gender tracking. 100 % is applicable when Member State chooses to use Article 6 ESF+</w:t>
      </w:r>
    </w:p>
    <w:p w14:paraId="39894D44" w14:textId="77777777" w:rsidR="00A77B3E" w:rsidRDefault="00000000">
      <w:pPr>
        <w:pStyle w:val="Heading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75" w:name="_Toc256000232"/>
      <w:r>
        <w:rPr>
          <w:rFonts w:ascii="Times New Roman" w:hAnsi="Times New Roman" w:cs="Times New Roman"/>
          <w:b w:val="0"/>
          <w:color w:val="000000"/>
          <w:sz w:val="24"/>
        </w:rPr>
        <w:lastRenderedPageBreak/>
        <w:t>2.1.1. Priority: SEM4. Sustainable and Affordable Housing</w:t>
      </w:r>
      <w:bookmarkEnd w:id="75"/>
    </w:p>
    <w:p w14:paraId="6366062A" w14:textId="77777777" w:rsidR="00A77B3E" w:rsidRDefault="00A77B3E">
      <w:pPr>
        <w:spacing w:before="100"/>
        <w:rPr>
          <w:color w:val="000000"/>
          <w:sz w:val="0"/>
        </w:rPr>
      </w:pPr>
    </w:p>
    <w:p w14:paraId="5C0758A4" w14:textId="77777777" w:rsidR="00A77B3E" w:rsidRDefault="00000000">
      <w:pPr>
        <w:pStyle w:val="Heading4"/>
        <w:spacing w:before="100" w:after="0"/>
        <w:rPr>
          <w:b w:val="0"/>
          <w:color w:val="000000"/>
          <w:sz w:val="24"/>
        </w:rPr>
      </w:pPr>
      <w:bookmarkStart w:id="76" w:name="_Toc256000233"/>
      <w:r>
        <w:rPr>
          <w:b w:val="0"/>
          <w:color w:val="000000"/>
          <w:sz w:val="24"/>
        </w:rPr>
        <w:t>2.1.1.1. Specific objective: RSO2.11. Promoting access to affordable and sustainable housing (ERDF)</w:t>
      </w:r>
      <w:bookmarkEnd w:id="76"/>
    </w:p>
    <w:p w14:paraId="20E06E30" w14:textId="77777777" w:rsidR="00A77B3E" w:rsidRDefault="00A77B3E">
      <w:pPr>
        <w:spacing w:before="100"/>
        <w:rPr>
          <w:color w:val="000000"/>
          <w:sz w:val="0"/>
        </w:rPr>
      </w:pPr>
    </w:p>
    <w:p w14:paraId="5CEFDC69" w14:textId="77777777" w:rsidR="00A77B3E" w:rsidRDefault="00000000">
      <w:pPr>
        <w:pStyle w:val="Heading4"/>
        <w:spacing w:before="100" w:after="0"/>
        <w:rPr>
          <w:b w:val="0"/>
          <w:color w:val="000000"/>
          <w:sz w:val="24"/>
        </w:rPr>
      </w:pPr>
      <w:bookmarkStart w:id="77" w:name="_Toc256000234"/>
      <w:r>
        <w:rPr>
          <w:b w:val="0"/>
          <w:color w:val="000000"/>
          <w:sz w:val="24"/>
        </w:rPr>
        <w:t>2.1.1.1.1. Interventions of the Funds</w:t>
      </w:r>
      <w:bookmarkEnd w:id="77"/>
    </w:p>
    <w:p w14:paraId="78E79217" w14:textId="77777777" w:rsidR="00A77B3E" w:rsidRDefault="00A77B3E">
      <w:pPr>
        <w:spacing w:before="100"/>
        <w:rPr>
          <w:color w:val="000000"/>
          <w:sz w:val="0"/>
        </w:rPr>
      </w:pPr>
    </w:p>
    <w:p w14:paraId="66DC7669" w14:textId="77777777" w:rsidR="00A77B3E" w:rsidRDefault="00000000">
      <w:pPr>
        <w:spacing w:before="100"/>
        <w:rPr>
          <w:color w:val="000000"/>
          <w:sz w:val="0"/>
        </w:rPr>
      </w:pPr>
      <w:r>
        <w:rPr>
          <w:color w:val="000000"/>
        </w:rPr>
        <w:t>Reference: points (d)(</w:t>
      </w:r>
      <w:proofErr w:type="spellStart"/>
      <w:r>
        <w:rPr>
          <w:color w:val="000000"/>
        </w:rPr>
        <w:t>i</w:t>
      </w:r>
      <w:proofErr w:type="spellEnd"/>
      <w:r>
        <w:rPr>
          <w:color w:val="000000"/>
        </w:rPr>
        <w:t>), (iii), (iv), (v), (vi) and (vii) of Article 22(3) CPR</w:t>
      </w:r>
    </w:p>
    <w:p w14:paraId="32B7964D" w14:textId="77777777" w:rsidR="00A77B3E" w:rsidRDefault="00000000">
      <w:pPr>
        <w:pStyle w:val="Heading5"/>
        <w:spacing w:before="100" w:after="0"/>
        <w:rPr>
          <w:b w:val="0"/>
          <w:i w:val="0"/>
          <w:color w:val="000000"/>
          <w:sz w:val="24"/>
        </w:rPr>
      </w:pPr>
      <w:bookmarkStart w:id="78" w:name="_Toc256000235"/>
      <w:r>
        <w:rPr>
          <w:b w:val="0"/>
          <w:i w:val="0"/>
          <w:color w:val="000000"/>
          <w:sz w:val="24"/>
        </w:rPr>
        <w:t>The related types of actions – point (d)(</w:t>
      </w:r>
      <w:proofErr w:type="spellStart"/>
      <w:r>
        <w:rPr>
          <w:b w:val="0"/>
          <w:i w:val="0"/>
          <w:color w:val="000000"/>
          <w:sz w:val="24"/>
        </w:rPr>
        <w:t>i</w:t>
      </w:r>
      <w:proofErr w:type="spellEnd"/>
      <w:r>
        <w:rPr>
          <w:b w:val="0"/>
          <w:i w:val="0"/>
          <w:color w:val="000000"/>
          <w:sz w:val="24"/>
        </w:rPr>
        <w:t>) of Article 22(3) CPR and Article 6 ESF+ Regulation:</w:t>
      </w:r>
      <w:bookmarkEnd w:id="78"/>
    </w:p>
    <w:p w14:paraId="480DE0F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7A6C8E6D"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7D1BA8" w14:textId="77777777" w:rsidR="00A77B3E" w:rsidRDefault="00A77B3E">
            <w:pPr>
              <w:spacing w:before="100"/>
              <w:rPr>
                <w:color w:val="000000"/>
                <w:sz w:val="0"/>
              </w:rPr>
            </w:pPr>
          </w:p>
          <w:p w14:paraId="759ADC63" w14:textId="77777777" w:rsidR="00A77B3E" w:rsidRDefault="00000000">
            <w:pPr>
              <w:spacing w:before="100"/>
              <w:rPr>
                <w:color w:val="000000"/>
              </w:rPr>
            </w:pPr>
            <w:r>
              <w:rPr>
                <w:color w:val="000000"/>
              </w:rPr>
              <w:t xml:space="preserve">The following types of action will be taken under this priority to promote access to affordable and sustainable housing within the </w:t>
            </w:r>
            <w:proofErr w:type="spellStart"/>
            <w:r>
              <w:rPr>
                <w:color w:val="000000"/>
              </w:rPr>
              <w:t>programme</w:t>
            </w:r>
            <w:proofErr w:type="spellEnd"/>
            <w:r>
              <w:rPr>
                <w:color w:val="000000"/>
              </w:rPr>
              <w:t xml:space="preserve"> area.</w:t>
            </w:r>
          </w:p>
          <w:p w14:paraId="5105B26E" w14:textId="77777777" w:rsidR="00A77B3E" w:rsidRDefault="00A77B3E">
            <w:pPr>
              <w:spacing w:before="100"/>
              <w:rPr>
                <w:color w:val="000000"/>
              </w:rPr>
            </w:pPr>
          </w:p>
          <w:p w14:paraId="629B1886" w14:textId="77777777" w:rsidR="00A77B3E" w:rsidRDefault="00000000">
            <w:pPr>
              <w:spacing w:before="100"/>
              <w:rPr>
                <w:color w:val="000000"/>
              </w:rPr>
            </w:pPr>
            <w:r>
              <w:rPr>
                <w:rStyle w:val="Strong"/>
                <w:b w:val="0"/>
                <w:color w:val="000000"/>
              </w:rPr>
              <w:t>Increasing the supply of sustainable, affordable and energy efficient rental homes in our cities and regions</w:t>
            </w:r>
          </w:p>
          <w:p w14:paraId="7308C277" w14:textId="77777777" w:rsidR="00A77B3E" w:rsidRDefault="00000000">
            <w:pPr>
              <w:spacing w:before="100"/>
              <w:rPr>
                <w:color w:val="000000"/>
              </w:rPr>
            </w:pPr>
            <w:r>
              <w:rPr>
                <w:rStyle w:val="Emphasis"/>
                <w:i w:val="0"/>
                <w:color w:val="000000"/>
              </w:rPr>
              <w:t>Affordable rental housing is housing that can be rented for a lower price than most rented homes, typically at a discount in the region of 25% of market rent for similar private rental homes in the same location. It provides a long-term accommodation option for people who are on a middle income, earning too much money to get social housing, but who find it difficult to afford private rents. Detailed eligibility criteria will be set out in the implementation plan and funding call(s) for this action and will be modelled closely on those in place for cost rental housing in Ireland, a new form of rental tenure introduced in 2021. Affordability will be maintained over time preventing property speculation.</w:t>
            </w:r>
          </w:p>
          <w:p w14:paraId="32193DC0" w14:textId="77777777" w:rsidR="00A77B3E" w:rsidRDefault="00A77B3E">
            <w:pPr>
              <w:spacing w:before="100"/>
              <w:rPr>
                <w:color w:val="000000"/>
              </w:rPr>
            </w:pPr>
          </w:p>
          <w:p w14:paraId="0D62C598" w14:textId="77777777" w:rsidR="00A77B3E" w:rsidRDefault="00000000">
            <w:pPr>
              <w:spacing w:before="100"/>
              <w:rPr>
                <w:color w:val="000000"/>
              </w:rPr>
            </w:pPr>
            <w:r>
              <w:rPr>
                <w:rStyle w:val="Strong"/>
                <w:b w:val="0"/>
                <w:color w:val="000000"/>
              </w:rPr>
              <w:t>Action RSO2.11.1</w:t>
            </w:r>
            <w:r>
              <w:rPr>
                <w:color w:val="000000"/>
              </w:rPr>
              <w:t xml:space="preserve">: Vacant and derelict buildings on brownfield sites within the urban core are more expensive to renovate and maintain. As a result, they compare poorly with new build developments on greenfield sites when judged solely on cost per unit. They are typically not viable projects based on the return available for below market rate affordable rents. This action will support local authorities to renovate and/or repurpose vacant residential or non-residential buildings within the urban core into affordable, sustainable and energy efficient rental units, delivered and managed under the remit of the local authorities. It will increase the supply of affordable and sustainable housing in urban </w:t>
            </w:r>
            <w:proofErr w:type="spellStart"/>
            <w:r>
              <w:rPr>
                <w:color w:val="000000"/>
              </w:rPr>
              <w:t>centres</w:t>
            </w:r>
            <w:proofErr w:type="spellEnd"/>
            <w:r>
              <w:rPr>
                <w:color w:val="000000"/>
              </w:rPr>
              <w:t xml:space="preserve">, while reducing vacancy and dereliction, acting as a catalyst </w:t>
            </w:r>
          </w:p>
          <w:p w14:paraId="21431FB4" w14:textId="77777777" w:rsidR="00A77B3E" w:rsidRDefault="00A77B3E">
            <w:pPr>
              <w:spacing w:before="100"/>
              <w:rPr>
                <w:color w:val="000000"/>
              </w:rPr>
            </w:pPr>
          </w:p>
          <w:p w14:paraId="2723FACF" w14:textId="77777777" w:rsidR="00A77B3E" w:rsidRDefault="00000000">
            <w:pPr>
              <w:spacing w:before="100"/>
              <w:rPr>
                <w:color w:val="000000"/>
              </w:rPr>
            </w:pPr>
            <w:r>
              <w:rPr>
                <w:color w:val="000000"/>
              </w:rPr>
              <w:t xml:space="preserve">The four cities in the </w:t>
            </w:r>
            <w:proofErr w:type="spellStart"/>
            <w:r>
              <w:rPr>
                <w:color w:val="000000"/>
              </w:rPr>
              <w:t>programme</w:t>
            </w:r>
            <w:proofErr w:type="spellEnd"/>
            <w:r>
              <w:rPr>
                <w:color w:val="000000"/>
              </w:rPr>
              <w:t xml:space="preserve"> area will be the initial focus of investment as rental prices are highest in the cities, </w:t>
            </w:r>
            <w:proofErr w:type="spellStart"/>
            <w:r>
              <w:rPr>
                <w:color w:val="000000"/>
              </w:rPr>
              <w:t>e.g</w:t>
            </w:r>
            <w:proofErr w:type="spellEnd"/>
            <w:r>
              <w:rPr>
                <w:color w:val="000000"/>
              </w:rPr>
              <w:t>, the Daft.ie Q3 2025 Rental Survey Report provides details on the average monthly rent of a 2-bed apartment as follows: Dublin €2,524; the other cities €2,020; Leinster (ex. Dublin) €1,657; Munster (</w:t>
            </w:r>
            <w:proofErr w:type="spellStart"/>
            <w:r>
              <w:rPr>
                <w:color w:val="000000"/>
              </w:rPr>
              <w:t>ex.cities</w:t>
            </w:r>
            <w:proofErr w:type="spellEnd"/>
            <w:r>
              <w:rPr>
                <w:color w:val="000000"/>
              </w:rPr>
              <w:t xml:space="preserve">) €1,454; Connaught-Ulster (ex-Galway) €1,273. If the budget and capacity allows, the action may be extended to other urban </w:t>
            </w:r>
            <w:proofErr w:type="spellStart"/>
            <w:r>
              <w:rPr>
                <w:color w:val="000000"/>
              </w:rPr>
              <w:t>centres</w:t>
            </w:r>
            <w:proofErr w:type="spellEnd"/>
            <w:r>
              <w:rPr>
                <w:color w:val="000000"/>
              </w:rPr>
              <w:t>. Projects supported under this action will act as a pathfinder for future actions and investment in affordable housing.</w:t>
            </w:r>
          </w:p>
          <w:p w14:paraId="2A599671" w14:textId="77777777" w:rsidR="00A77B3E" w:rsidRDefault="00A77B3E">
            <w:pPr>
              <w:spacing w:before="100"/>
              <w:rPr>
                <w:color w:val="000000"/>
              </w:rPr>
            </w:pPr>
          </w:p>
          <w:p w14:paraId="49ED2C37" w14:textId="77777777" w:rsidR="00A77B3E" w:rsidRDefault="00000000">
            <w:pPr>
              <w:spacing w:before="100"/>
              <w:rPr>
                <w:color w:val="000000"/>
              </w:rPr>
            </w:pPr>
            <w:r>
              <w:rPr>
                <w:color w:val="000000"/>
              </w:rPr>
              <w:t xml:space="preserve">The proposed action will align with the National Planning Framework, the RSESs, Town Centre First Policy, the Sustainable Residential Development and Compact Settlements Guidelines for Planning Authorities, the Irish Government's new Housing Plan “Delivering Homes, Building Communities 2025-2030”, and the New European Bauhaus. This action will increase the supply of affordable rental homes while supporting town </w:t>
            </w:r>
            <w:proofErr w:type="spellStart"/>
            <w:r>
              <w:rPr>
                <w:color w:val="000000"/>
              </w:rPr>
              <w:t>centre</w:t>
            </w:r>
            <w:proofErr w:type="spellEnd"/>
            <w:r>
              <w:rPr>
                <w:color w:val="000000"/>
              </w:rPr>
              <w:t xml:space="preserve"> regeneration, compact urban growth, and climate neutral cities.</w:t>
            </w:r>
          </w:p>
          <w:p w14:paraId="2AC6188B" w14:textId="77777777" w:rsidR="00A77B3E" w:rsidRDefault="00A77B3E">
            <w:pPr>
              <w:spacing w:before="100"/>
              <w:rPr>
                <w:color w:val="000000"/>
              </w:rPr>
            </w:pPr>
          </w:p>
          <w:p w14:paraId="0CA848D1" w14:textId="77777777" w:rsidR="00A77B3E" w:rsidRDefault="00000000">
            <w:pPr>
              <w:spacing w:before="100"/>
              <w:rPr>
                <w:color w:val="000000"/>
              </w:rPr>
            </w:pPr>
            <w:r>
              <w:rPr>
                <w:color w:val="000000"/>
              </w:rPr>
              <w:t>The Managing Authority will work closely with the DHLGH, with local authorities and other relevant stakeholders to ensure that the action supports EU, national and regional objectives and avoids duplication of or competition with other EU, national or private investment. This action will complement the wide range of actions and investments set out in the Irish Government's new Housing Plan “Delivering Homes, Building Communities 2025-2030”.</w:t>
            </w:r>
          </w:p>
          <w:p w14:paraId="2EFE35DF" w14:textId="77777777" w:rsidR="00A77B3E" w:rsidRDefault="00A77B3E">
            <w:pPr>
              <w:spacing w:before="100"/>
              <w:rPr>
                <w:color w:val="000000"/>
              </w:rPr>
            </w:pPr>
          </w:p>
          <w:p w14:paraId="69656B79" w14:textId="77777777" w:rsidR="00A77B3E" w:rsidRDefault="00A77B3E">
            <w:pPr>
              <w:spacing w:before="100"/>
              <w:rPr>
                <w:color w:val="000000"/>
              </w:rPr>
            </w:pPr>
          </w:p>
          <w:p w14:paraId="72D8FB63" w14:textId="77777777" w:rsidR="00A77B3E" w:rsidRDefault="00000000">
            <w:pPr>
              <w:spacing w:before="100"/>
              <w:rPr>
                <w:color w:val="000000"/>
              </w:rPr>
            </w:pPr>
            <w:r>
              <w:rPr>
                <w:color w:val="000000"/>
              </w:rPr>
              <w:t>===================</w:t>
            </w:r>
          </w:p>
          <w:p w14:paraId="0930FD87" w14:textId="77777777" w:rsidR="00A77B3E" w:rsidRDefault="00A77B3E">
            <w:pPr>
              <w:spacing w:before="100"/>
              <w:rPr>
                <w:color w:val="000000"/>
              </w:rPr>
            </w:pPr>
          </w:p>
          <w:p w14:paraId="377AE18F" w14:textId="77777777" w:rsidR="00A77B3E" w:rsidRDefault="00000000">
            <w:pPr>
              <w:spacing w:before="100"/>
              <w:rPr>
                <w:color w:val="000000"/>
              </w:rPr>
            </w:pPr>
            <w:r>
              <w:rPr>
                <w:rStyle w:val="Strong"/>
                <w:b w:val="0"/>
                <w:color w:val="000000"/>
              </w:rPr>
              <w:t>Strategic Procurement and Environmentally Sustainable Solutions</w:t>
            </w:r>
          </w:p>
          <w:p w14:paraId="002C09AA" w14:textId="77777777" w:rsidR="00A77B3E" w:rsidRDefault="00000000">
            <w:pPr>
              <w:spacing w:before="100"/>
              <w:rPr>
                <w:color w:val="000000"/>
              </w:rPr>
            </w:pPr>
            <w:r>
              <w:rPr>
                <w:color w:val="000000"/>
              </w:rPr>
              <w:t xml:space="preserve">The Managing Authority will promote the strategic use of public procurement to support actions under this Specific Objective, including </w:t>
            </w:r>
            <w:proofErr w:type="spellStart"/>
            <w:r>
              <w:rPr>
                <w:color w:val="000000"/>
              </w:rPr>
              <w:t>professionalisation</w:t>
            </w:r>
            <w:proofErr w:type="spellEnd"/>
            <w:r>
              <w:rPr>
                <w:color w:val="000000"/>
              </w:rPr>
              <w:t xml:space="preserve"> efforts to address capacity gaps. Beneficiaries will be encouraged to use more quality-related and lifecycle cost criteria. When feasible, environmental (e.g., green public procurement criteria) and social considerations as well as innovation incentives will be incorporated into public procurement procedures.</w:t>
            </w:r>
          </w:p>
          <w:p w14:paraId="347B62A6" w14:textId="77777777" w:rsidR="00A77B3E" w:rsidRDefault="00A77B3E">
            <w:pPr>
              <w:spacing w:before="100"/>
              <w:rPr>
                <w:color w:val="000000"/>
              </w:rPr>
            </w:pPr>
          </w:p>
          <w:p w14:paraId="7C84545E" w14:textId="77777777" w:rsidR="00A77B3E" w:rsidRDefault="00000000">
            <w:pPr>
              <w:spacing w:before="100"/>
              <w:rPr>
                <w:color w:val="000000"/>
              </w:rPr>
            </w:pPr>
            <w:r>
              <w:rPr>
                <w:color w:val="000000"/>
              </w:rPr>
              <w:t>The selection of projects will be made based on criteria that take into account the most environmentally sustainable solutions. These criteria shall be adapted to the nature of the intervention and applied as widely as possible.</w:t>
            </w:r>
          </w:p>
          <w:p w14:paraId="7BA58F1C" w14:textId="77777777" w:rsidR="00A77B3E" w:rsidRDefault="00A77B3E">
            <w:pPr>
              <w:spacing w:before="100"/>
              <w:rPr>
                <w:color w:val="000000"/>
              </w:rPr>
            </w:pPr>
          </w:p>
          <w:p w14:paraId="197013D8" w14:textId="77777777" w:rsidR="00A77B3E" w:rsidRDefault="00000000">
            <w:pPr>
              <w:spacing w:before="100"/>
              <w:rPr>
                <w:color w:val="000000"/>
              </w:rPr>
            </w:pPr>
            <w:r>
              <w:rPr>
                <w:rStyle w:val="Strong"/>
                <w:b w:val="0"/>
                <w:color w:val="000000"/>
              </w:rPr>
              <w:t>New European Bauhaus</w:t>
            </w:r>
          </w:p>
          <w:p w14:paraId="7BB603E1" w14:textId="77777777" w:rsidR="00A77B3E" w:rsidRDefault="00000000">
            <w:pPr>
              <w:spacing w:before="100"/>
              <w:rPr>
                <w:color w:val="000000"/>
              </w:rPr>
            </w:pPr>
            <w:r>
              <w:rPr>
                <w:color w:val="000000"/>
              </w:rPr>
              <w:t>The New European Bauhaus initiative connects the European Green Deal to our daily lives and living spaces. It calls on all Europeans to imagine and build together a sustainable and inclusive future that is beautiful for our eyes, minds, and souls. The type of action set out above is in line with the New European Bauhaus initiative and provide opportunities to realize beautiful, sustainable, and inclusive projects, building on the success of actions under Policy Objective 5.</w:t>
            </w:r>
          </w:p>
          <w:p w14:paraId="10BFDAB5" w14:textId="77777777" w:rsidR="00A77B3E" w:rsidRDefault="00A77B3E">
            <w:pPr>
              <w:spacing w:before="100"/>
              <w:rPr>
                <w:color w:val="000000"/>
              </w:rPr>
            </w:pPr>
          </w:p>
          <w:p w14:paraId="2B3610EC" w14:textId="77777777" w:rsidR="00A77B3E" w:rsidRDefault="00000000">
            <w:pPr>
              <w:spacing w:before="100"/>
              <w:rPr>
                <w:color w:val="000000"/>
              </w:rPr>
            </w:pPr>
            <w:r>
              <w:rPr>
                <w:rStyle w:val="Strong"/>
                <w:b w:val="0"/>
                <w:color w:val="000000"/>
              </w:rPr>
              <w:t>Do No Significant Harm (DNSH) Analysis</w:t>
            </w:r>
          </w:p>
          <w:p w14:paraId="5433E5EE" w14:textId="77777777" w:rsidR="00A77B3E" w:rsidRDefault="00000000">
            <w:pPr>
              <w:spacing w:before="100"/>
              <w:rPr>
                <w:color w:val="000000"/>
              </w:rPr>
            </w:pPr>
            <w:r>
              <w:rPr>
                <w:color w:val="000000"/>
              </w:rPr>
              <w:t>A DNSH analysis has been carried out at the level of the types of actions defined above and it has been determined that these actions would do no significant harm to environmental objectives within the meaning of Article 17 of Regulation (EU) 2020/852 of the European Parliament and of the Council.</w:t>
            </w:r>
          </w:p>
          <w:p w14:paraId="6608BE24" w14:textId="77777777" w:rsidR="00A77B3E" w:rsidRDefault="00A77B3E">
            <w:pPr>
              <w:spacing w:before="100"/>
              <w:rPr>
                <w:color w:val="000000"/>
                <w:sz w:val="6"/>
              </w:rPr>
            </w:pPr>
          </w:p>
          <w:p w14:paraId="78734D62" w14:textId="77777777" w:rsidR="00A77B3E" w:rsidRDefault="00A77B3E">
            <w:pPr>
              <w:spacing w:before="100"/>
              <w:rPr>
                <w:color w:val="000000"/>
                <w:sz w:val="6"/>
              </w:rPr>
            </w:pPr>
          </w:p>
        </w:tc>
      </w:tr>
    </w:tbl>
    <w:p w14:paraId="31A0E61B" w14:textId="77777777" w:rsidR="00A77B3E" w:rsidRDefault="00A77B3E">
      <w:pPr>
        <w:spacing w:before="100"/>
        <w:rPr>
          <w:color w:val="000000"/>
        </w:rPr>
      </w:pPr>
    </w:p>
    <w:p w14:paraId="04A8730D" w14:textId="77777777" w:rsidR="00A77B3E" w:rsidRDefault="00000000">
      <w:pPr>
        <w:pStyle w:val="Heading5"/>
        <w:spacing w:before="100" w:after="0"/>
        <w:rPr>
          <w:b w:val="0"/>
          <w:i w:val="0"/>
          <w:color w:val="000000"/>
          <w:sz w:val="24"/>
        </w:rPr>
      </w:pPr>
      <w:bookmarkStart w:id="79" w:name="_Toc256000236"/>
      <w:r>
        <w:rPr>
          <w:b w:val="0"/>
          <w:i w:val="0"/>
          <w:color w:val="000000"/>
          <w:sz w:val="24"/>
        </w:rPr>
        <w:t>The main target groups - point (d)(iii) of Article 22(3) CPR:</w:t>
      </w:r>
      <w:bookmarkEnd w:id="79"/>
    </w:p>
    <w:p w14:paraId="4D527A0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2D5323A"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1F9915" w14:textId="77777777" w:rsidR="00A77B3E" w:rsidRDefault="00A77B3E">
            <w:pPr>
              <w:spacing w:before="100"/>
              <w:rPr>
                <w:color w:val="000000"/>
                <w:sz w:val="0"/>
              </w:rPr>
            </w:pPr>
          </w:p>
          <w:p w14:paraId="0740AC39" w14:textId="77777777" w:rsidR="00A77B3E" w:rsidRDefault="00000000">
            <w:pPr>
              <w:spacing w:before="100"/>
              <w:rPr>
                <w:color w:val="000000"/>
              </w:rPr>
            </w:pPr>
            <w:r>
              <w:rPr>
                <w:color w:val="000000"/>
              </w:rPr>
              <w:lastRenderedPageBreak/>
              <w:t xml:space="preserve">The main target beneficiaries for the actions under RSO2.11.1 are Local Authorities with primary responsibility for sustainable and integrated urban development and implementation of the Town Centre First policy in the towns and cities within the </w:t>
            </w:r>
            <w:proofErr w:type="spellStart"/>
            <w:r>
              <w:rPr>
                <w:color w:val="000000"/>
              </w:rPr>
              <w:t>programme</w:t>
            </w:r>
            <w:proofErr w:type="spellEnd"/>
            <w:r>
              <w:rPr>
                <w:color w:val="000000"/>
              </w:rPr>
              <w:t xml:space="preserve"> area.</w:t>
            </w:r>
          </w:p>
          <w:p w14:paraId="571BC845" w14:textId="77777777" w:rsidR="00A77B3E" w:rsidRDefault="00A77B3E">
            <w:pPr>
              <w:spacing w:before="100"/>
              <w:rPr>
                <w:color w:val="000000"/>
                <w:sz w:val="6"/>
              </w:rPr>
            </w:pPr>
          </w:p>
          <w:p w14:paraId="5FDED66E" w14:textId="77777777" w:rsidR="00A77B3E" w:rsidRDefault="00A77B3E">
            <w:pPr>
              <w:spacing w:before="100"/>
              <w:rPr>
                <w:color w:val="000000"/>
                <w:sz w:val="6"/>
              </w:rPr>
            </w:pPr>
          </w:p>
        </w:tc>
      </w:tr>
    </w:tbl>
    <w:p w14:paraId="47F47CA3" w14:textId="77777777" w:rsidR="00A77B3E" w:rsidRDefault="00A77B3E">
      <w:pPr>
        <w:spacing w:before="100"/>
        <w:rPr>
          <w:color w:val="000000"/>
        </w:rPr>
      </w:pPr>
    </w:p>
    <w:p w14:paraId="095E6172" w14:textId="77777777" w:rsidR="00A77B3E" w:rsidRDefault="00000000">
      <w:pPr>
        <w:pStyle w:val="Heading5"/>
        <w:spacing w:before="100" w:after="0"/>
        <w:rPr>
          <w:b w:val="0"/>
          <w:i w:val="0"/>
          <w:color w:val="000000"/>
          <w:sz w:val="24"/>
        </w:rPr>
      </w:pPr>
      <w:bookmarkStart w:id="80" w:name="_Toc256000237"/>
      <w:r>
        <w:rPr>
          <w:b w:val="0"/>
          <w:i w:val="0"/>
          <w:color w:val="000000"/>
          <w:sz w:val="24"/>
        </w:rPr>
        <w:t>Actions safeguarding equality, inclusion and non-discrimination – point (d)(iv) of Article 22(3) CPR and Article 6 ESF+ Regulation</w:t>
      </w:r>
      <w:bookmarkEnd w:id="80"/>
    </w:p>
    <w:p w14:paraId="04CD0FEF"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7192B82C"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E8FC2C" w14:textId="77777777" w:rsidR="00A77B3E" w:rsidRDefault="00A77B3E">
            <w:pPr>
              <w:spacing w:before="100"/>
              <w:rPr>
                <w:color w:val="000000"/>
                <w:sz w:val="0"/>
              </w:rPr>
            </w:pPr>
          </w:p>
          <w:p w14:paraId="0A1EEE3E" w14:textId="77777777" w:rsidR="00A77B3E" w:rsidRDefault="00000000">
            <w:pPr>
              <w:spacing w:before="100"/>
              <w:rPr>
                <w:color w:val="000000"/>
              </w:rPr>
            </w:pPr>
            <w:r>
              <w:rPr>
                <w:color w:val="000000"/>
              </w:rPr>
              <w:t>Please refer to details already provided under 'Actions safeguarding equality, inclusion and non-discrimination – point (d)(iv) of Article 22(3) CPR and Article 6 ESF+ Regulation' under RSO1.1.</w:t>
            </w:r>
          </w:p>
          <w:p w14:paraId="5FA67439" w14:textId="77777777" w:rsidR="00A77B3E" w:rsidRDefault="00A77B3E">
            <w:pPr>
              <w:spacing w:before="100"/>
              <w:rPr>
                <w:color w:val="000000"/>
              </w:rPr>
            </w:pPr>
          </w:p>
          <w:p w14:paraId="0FC5954A" w14:textId="77777777" w:rsidR="00A77B3E" w:rsidRDefault="00000000">
            <w:pPr>
              <w:spacing w:before="100"/>
              <w:rPr>
                <w:color w:val="000000"/>
              </w:rPr>
            </w:pPr>
            <w:r>
              <w:rPr>
                <w:color w:val="000000"/>
              </w:rPr>
              <w:t>Investment under this specific objective will support socially mixed communities and buildings to avoid perpetuating segregated settings. They will be located in non-segregated areas that guarantee equal access to quality mainstream services such as education, healthcare, employment opportunities, and public transport.</w:t>
            </w:r>
          </w:p>
          <w:p w14:paraId="29FCDE8C" w14:textId="77777777" w:rsidR="00A77B3E" w:rsidRDefault="00A77B3E">
            <w:pPr>
              <w:spacing w:before="100"/>
              <w:rPr>
                <w:color w:val="000000"/>
              </w:rPr>
            </w:pPr>
          </w:p>
          <w:p w14:paraId="64F27035" w14:textId="77777777" w:rsidR="00A77B3E" w:rsidRDefault="00000000">
            <w:pPr>
              <w:spacing w:before="100"/>
              <w:rPr>
                <w:color w:val="000000"/>
              </w:rPr>
            </w:pPr>
            <w:r>
              <w:rPr>
                <w:color w:val="000000"/>
              </w:rPr>
              <w:t>Supported operations will ensure accessibility for people with disabilities and compliance with the United Nations Convention on the Rights of People with Disabilities (UNCPRD), including providing conditions for independent living for people with disabilities.</w:t>
            </w:r>
          </w:p>
          <w:p w14:paraId="43C788CE" w14:textId="77777777" w:rsidR="00A77B3E" w:rsidRDefault="00A77B3E">
            <w:pPr>
              <w:spacing w:before="100"/>
              <w:rPr>
                <w:color w:val="000000"/>
              </w:rPr>
            </w:pPr>
          </w:p>
          <w:p w14:paraId="58D821B9" w14:textId="77777777" w:rsidR="00A77B3E" w:rsidRDefault="00A77B3E">
            <w:pPr>
              <w:spacing w:before="100"/>
              <w:rPr>
                <w:color w:val="000000"/>
                <w:sz w:val="6"/>
              </w:rPr>
            </w:pPr>
          </w:p>
          <w:p w14:paraId="76929CB5" w14:textId="77777777" w:rsidR="00A77B3E" w:rsidRDefault="00A77B3E">
            <w:pPr>
              <w:spacing w:before="100"/>
              <w:rPr>
                <w:color w:val="000000"/>
                <w:sz w:val="6"/>
              </w:rPr>
            </w:pPr>
          </w:p>
        </w:tc>
      </w:tr>
    </w:tbl>
    <w:p w14:paraId="24B069E5" w14:textId="77777777" w:rsidR="00A77B3E" w:rsidRDefault="00A77B3E">
      <w:pPr>
        <w:spacing w:before="100"/>
        <w:rPr>
          <w:color w:val="000000"/>
        </w:rPr>
      </w:pPr>
    </w:p>
    <w:p w14:paraId="1EDB3E0D" w14:textId="77777777" w:rsidR="00A77B3E" w:rsidRDefault="00000000">
      <w:pPr>
        <w:pStyle w:val="Heading5"/>
        <w:spacing w:before="100" w:after="0"/>
        <w:rPr>
          <w:b w:val="0"/>
          <w:i w:val="0"/>
          <w:color w:val="000000"/>
          <w:sz w:val="24"/>
        </w:rPr>
      </w:pPr>
      <w:bookmarkStart w:id="81" w:name="_Toc256000238"/>
      <w:r>
        <w:rPr>
          <w:b w:val="0"/>
          <w:i w:val="0"/>
          <w:color w:val="000000"/>
          <w:sz w:val="24"/>
        </w:rPr>
        <w:t>Indication of the specific territories targeted, including the planned use of territorial tools – point (d)(v) of Article 22(3) CPR</w:t>
      </w:r>
      <w:bookmarkEnd w:id="81"/>
    </w:p>
    <w:p w14:paraId="5BE8339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70F833F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6110565" w14:textId="77777777" w:rsidR="00A77B3E" w:rsidRDefault="00A77B3E">
            <w:pPr>
              <w:spacing w:before="100"/>
              <w:rPr>
                <w:color w:val="000000"/>
                <w:sz w:val="0"/>
              </w:rPr>
            </w:pPr>
          </w:p>
          <w:p w14:paraId="0608DB19" w14:textId="77777777" w:rsidR="00A77B3E" w:rsidRDefault="00000000">
            <w:pPr>
              <w:spacing w:before="100"/>
              <w:rPr>
                <w:color w:val="000000"/>
              </w:rPr>
            </w:pPr>
            <w:r>
              <w:rPr>
                <w:color w:val="000000"/>
              </w:rPr>
              <w:t xml:space="preserve">Supported actions will focus initially on the four cities in the </w:t>
            </w:r>
            <w:proofErr w:type="spellStart"/>
            <w:r>
              <w:rPr>
                <w:color w:val="000000"/>
              </w:rPr>
              <w:t>programme</w:t>
            </w:r>
            <w:proofErr w:type="spellEnd"/>
            <w:r>
              <w:rPr>
                <w:color w:val="000000"/>
              </w:rPr>
              <w:t xml:space="preserve"> area. No territorial tools will be used under this specific objective. </w:t>
            </w:r>
          </w:p>
          <w:p w14:paraId="1CC9F4AC" w14:textId="77777777" w:rsidR="00A77B3E" w:rsidRDefault="00A77B3E">
            <w:pPr>
              <w:spacing w:before="100"/>
              <w:rPr>
                <w:color w:val="000000"/>
                <w:sz w:val="6"/>
              </w:rPr>
            </w:pPr>
          </w:p>
          <w:p w14:paraId="0ABC32DE" w14:textId="77777777" w:rsidR="00A77B3E" w:rsidRDefault="00A77B3E">
            <w:pPr>
              <w:spacing w:before="100"/>
              <w:rPr>
                <w:color w:val="000000"/>
                <w:sz w:val="6"/>
              </w:rPr>
            </w:pPr>
          </w:p>
        </w:tc>
      </w:tr>
    </w:tbl>
    <w:p w14:paraId="7CEE1884" w14:textId="77777777" w:rsidR="00A77B3E" w:rsidRDefault="00A77B3E">
      <w:pPr>
        <w:spacing w:before="100"/>
        <w:rPr>
          <w:color w:val="000000"/>
        </w:rPr>
      </w:pPr>
    </w:p>
    <w:p w14:paraId="552F69FA" w14:textId="77777777" w:rsidR="00A77B3E" w:rsidRDefault="00000000">
      <w:pPr>
        <w:pStyle w:val="Heading5"/>
        <w:spacing w:before="100" w:after="0"/>
        <w:rPr>
          <w:b w:val="0"/>
          <w:i w:val="0"/>
          <w:color w:val="000000"/>
          <w:sz w:val="24"/>
        </w:rPr>
      </w:pPr>
      <w:bookmarkStart w:id="82" w:name="_Toc256000239"/>
      <w:r>
        <w:rPr>
          <w:b w:val="0"/>
          <w:i w:val="0"/>
          <w:color w:val="000000"/>
          <w:sz w:val="24"/>
        </w:rPr>
        <w:t>The interregional, cross-border and transnational actions – point (d)(vi) of Article 22(3) CPR</w:t>
      </w:r>
      <w:bookmarkEnd w:id="82"/>
    </w:p>
    <w:p w14:paraId="1701769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2C7216B"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2E2484" w14:textId="77777777" w:rsidR="00A77B3E" w:rsidRDefault="00A77B3E">
            <w:pPr>
              <w:spacing w:before="100"/>
              <w:rPr>
                <w:color w:val="000000"/>
                <w:sz w:val="0"/>
              </w:rPr>
            </w:pPr>
          </w:p>
          <w:p w14:paraId="3B3BAA41" w14:textId="77777777" w:rsidR="00A77B3E" w:rsidRDefault="00000000">
            <w:pPr>
              <w:spacing w:before="100"/>
              <w:rPr>
                <w:color w:val="000000"/>
              </w:rPr>
            </w:pPr>
            <w:r>
              <w:rPr>
                <w:color w:val="000000"/>
              </w:rPr>
              <w:t xml:space="preserve">The design, implementation and evaluation of Action RSO2.11.1 provide significant opportunities for interregional, cross-border and transnational learning and collaborative projects. Action RSO2.11.1 can build on learning from current Interreg projects, e.g., Proximities and </w:t>
            </w:r>
            <w:proofErr w:type="spellStart"/>
            <w:r>
              <w:rPr>
                <w:color w:val="000000"/>
              </w:rPr>
              <w:t>FutureEcos</w:t>
            </w:r>
            <w:proofErr w:type="spellEnd"/>
            <w:r>
              <w:rPr>
                <w:color w:val="000000"/>
              </w:rPr>
              <w:t xml:space="preserve">, and from projects funded under this and other ERDF Regional Programmes. We will explore the possibility to exchange with MAs in regions that have similar issues, through peer-to-peer networks, e.g., New European Bauhaus, Heads of Managing Authorities Network, </w:t>
            </w:r>
          </w:p>
          <w:p w14:paraId="7AFF5255" w14:textId="77777777" w:rsidR="00A77B3E" w:rsidRDefault="00A77B3E">
            <w:pPr>
              <w:spacing w:before="100"/>
              <w:rPr>
                <w:color w:val="000000"/>
                <w:sz w:val="6"/>
              </w:rPr>
            </w:pPr>
          </w:p>
          <w:p w14:paraId="3006751A" w14:textId="77777777" w:rsidR="00A77B3E" w:rsidRDefault="00A77B3E">
            <w:pPr>
              <w:spacing w:before="100"/>
              <w:rPr>
                <w:color w:val="000000"/>
                <w:sz w:val="6"/>
              </w:rPr>
            </w:pPr>
          </w:p>
        </w:tc>
      </w:tr>
    </w:tbl>
    <w:p w14:paraId="2C59B77A" w14:textId="77777777" w:rsidR="00A77B3E" w:rsidRDefault="00A77B3E">
      <w:pPr>
        <w:spacing w:before="100"/>
        <w:rPr>
          <w:color w:val="000000"/>
        </w:rPr>
      </w:pPr>
    </w:p>
    <w:p w14:paraId="08E0803E" w14:textId="77777777" w:rsidR="00A77B3E" w:rsidRDefault="00000000">
      <w:pPr>
        <w:pStyle w:val="Heading5"/>
        <w:spacing w:before="100" w:after="0"/>
        <w:rPr>
          <w:b w:val="0"/>
          <w:i w:val="0"/>
          <w:color w:val="000000"/>
          <w:sz w:val="24"/>
        </w:rPr>
      </w:pPr>
      <w:bookmarkStart w:id="83" w:name="_Toc256000240"/>
      <w:r>
        <w:rPr>
          <w:b w:val="0"/>
          <w:i w:val="0"/>
          <w:color w:val="000000"/>
          <w:sz w:val="24"/>
        </w:rPr>
        <w:t>The planned use of financial instruments – point (d)(vii) of Article 22(3) CPR</w:t>
      </w:r>
      <w:bookmarkEnd w:id="83"/>
    </w:p>
    <w:p w14:paraId="27A4887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358B4D56"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150590" w14:textId="77777777" w:rsidR="00A77B3E" w:rsidRDefault="00A77B3E">
            <w:pPr>
              <w:spacing w:before="100"/>
              <w:rPr>
                <w:color w:val="000000"/>
                <w:sz w:val="0"/>
              </w:rPr>
            </w:pPr>
          </w:p>
          <w:p w14:paraId="37836391" w14:textId="77777777" w:rsidR="00A77B3E" w:rsidRDefault="00000000">
            <w:pPr>
              <w:spacing w:before="100"/>
              <w:rPr>
                <w:color w:val="000000"/>
              </w:rPr>
            </w:pPr>
            <w:r>
              <w:rPr>
                <w:color w:val="000000"/>
              </w:rPr>
              <w:t xml:space="preserve">The selected form of support is grants and will be used to fund renovation of properties that would not otherwise be viable investments by the local authorities for use as affordable rental homes. Future rental income at a substantial discount to the market rate may be adequate to finance loan interest for the purchase of land or buildings, and for ongoing maintenance and property management, but it is insufficient to meet the cost of deep renovation of vacant or </w:t>
            </w:r>
            <w:proofErr w:type="spellStart"/>
            <w:r>
              <w:rPr>
                <w:color w:val="000000"/>
              </w:rPr>
              <w:t>derilict</w:t>
            </w:r>
            <w:proofErr w:type="spellEnd"/>
            <w:r>
              <w:rPr>
                <w:color w:val="000000"/>
              </w:rPr>
              <w:t xml:space="preserve"> buildings in urban </w:t>
            </w:r>
            <w:proofErr w:type="spellStart"/>
            <w:r>
              <w:rPr>
                <w:color w:val="000000"/>
              </w:rPr>
              <w:t>centres</w:t>
            </w:r>
            <w:proofErr w:type="spellEnd"/>
            <w:r>
              <w:rPr>
                <w:color w:val="000000"/>
              </w:rPr>
              <w:t xml:space="preserve">. </w:t>
            </w:r>
          </w:p>
          <w:p w14:paraId="468F8E10" w14:textId="77777777" w:rsidR="00A77B3E" w:rsidRDefault="00A77B3E">
            <w:pPr>
              <w:spacing w:before="100"/>
              <w:rPr>
                <w:color w:val="000000"/>
              </w:rPr>
            </w:pPr>
          </w:p>
          <w:p w14:paraId="0C49D43B" w14:textId="77777777" w:rsidR="00A77B3E" w:rsidRDefault="00000000">
            <w:pPr>
              <w:spacing w:before="100"/>
              <w:rPr>
                <w:color w:val="000000"/>
              </w:rPr>
            </w:pPr>
            <w:r>
              <w:rPr>
                <w:color w:val="000000"/>
              </w:rPr>
              <w:t xml:space="preserve">National funding to support the development of affordable rental homes is </w:t>
            </w:r>
            <w:proofErr w:type="spellStart"/>
            <w:r>
              <w:rPr>
                <w:color w:val="000000"/>
              </w:rPr>
              <w:t>targetted</w:t>
            </w:r>
            <w:proofErr w:type="spellEnd"/>
            <w:r>
              <w:rPr>
                <w:color w:val="000000"/>
              </w:rPr>
              <w:t xml:space="preserve"> at larger scale projects and is typically only suitable for new build developments, often outside city or town </w:t>
            </w:r>
            <w:proofErr w:type="spellStart"/>
            <w:r>
              <w:rPr>
                <w:color w:val="000000"/>
              </w:rPr>
              <w:t>centres</w:t>
            </w:r>
            <w:proofErr w:type="spellEnd"/>
            <w:r>
              <w:rPr>
                <w:color w:val="000000"/>
              </w:rPr>
              <w:t xml:space="preserve">. </w:t>
            </w:r>
          </w:p>
          <w:p w14:paraId="075F9BCD" w14:textId="77777777" w:rsidR="00A77B3E" w:rsidRDefault="00A77B3E">
            <w:pPr>
              <w:spacing w:before="100"/>
              <w:rPr>
                <w:color w:val="000000"/>
              </w:rPr>
            </w:pPr>
          </w:p>
          <w:p w14:paraId="79E8BC12" w14:textId="77777777" w:rsidR="00A77B3E" w:rsidRDefault="00000000">
            <w:pPr>
              <w:spacing w:before="100"/>
              <w:rPr>
                <w:color w:val="000000"/>
              </w:rPr>
            </w:pPr>
            <w:r>
              <w:rPr>
                <w:color w:val="000000"/>
              </w:rPr>
              <w:t xml:space="preserve">The Government's new Housing Plan “Delivering Homes, Building Communities 2025-2030” </w:t>
            </w:r>
            <w:proofErr w:type="spellStart"/>
            <w:r>
              <w:rPr>
                <w:color w:val="000000"/>
              </w:rPr>
              <w:t>recognises</w:t>
            </w:r>
            <w:proofErr w:type="spellEnd"/>
            <w:r>
              <w:rPr>
                <w:color w:val="000000"/>
              </w:rPr>
              <w:t xml:space="preserve"> that there are challenges for the local authorities in delivering affordable rental homes and identifies the need for pathfinder projects that can inform future actions and investments. This investment can support some of those pathfinder projects. </w:t>
            </w:r>
          </w:p>
          <w:p w14:paraId="7083EC02" w14:textId="77777777" w:rsidR="00A77B3E" w:rsidRDefault="00A77B3E">
            <w:pPr>
              <w:spacing w:before="100"/>
              <w:rPr>
                <w:color w:val="000000"/>
                <w:sz w:val="6"/>
              </w:rPr>
            </w:pPr>
          </w:p>
          <w:p w14:paraId="1001F11B" w14:textId="77777777" w:rsidR="00A77B3E" w:rsidRDefault="00A77B3E">
            <w:pPr>
              <w:spacing w:before="100"/>
              <w:rPr>
                <w:color w:val="000000"/>
                <w:sz w:val="6"/>
              </w:rPr>
            </w:pPr>
          </w:p>
        </w:tc>
      </w:tr>
    </w:tbl>
    <w:p w14:paraId="3C229C62" w14:textId="77777777" w:rsidR="00A77B3E" w:rsidRDefault="00A77B3E">
      <w:pPr>
        <w:spacing w:before="100"/>
        <w:rPr>
          <w:color w:val="000000"/>
        </w:rPr>
      </w:pPr>
    </w:p>
    <w:p w14:paraId="16D621AA" w14:textId="77777777" w:rsidR="00A77B3E" w:rsidRDefault="00000000">
      <w:pPr>
        <w:pStyle w:val="Heading4"/>
        <w:spacing w:before="100" w:after="0"/>
        <w:rPr>
          <w:b w:val="0"/>
          <w:color w:val="000000"/>
          <w:sz w:val="24"/>
        </w:rPr>
      </w:pPr>
      <w:bookmarkStart w:id="84" w:name="_Toc256000241"/>
      <w:r>
        <w:rPr>
          <w:b w:val="0"/>
          <w:color w:val="000000"/>
          <w:sz w:val="24"/>
        </w:rPr>
        <w:t>2.1.1.1.2. Indicators</w:t>
      </w:r>
      <w:bookmarkEnd w:id="84"/>
    </w:p>
    <w:p w14:paraId="2FD623DE" w14:textId="77777777" w:rsidR="00A77B3E" w:rsidRDefault="00A77B3E">
      <w:pPr>
        <w:spacing w:before="100"/>
        <w:rPr>
          <w:color w:val="000000"/>
          <w:sz w:val="0"/>
        </w:rPr>
      </w:pPr>
    </w:p>
    <w:p w14:paraId="452ABC76" w14:textId="77777777" w:rsidR="00A77B3E" w:rsidRDefault="00000000">
      <w:pPr>
        <w:spacing w:before="100"/>
        <w:rPr>
          <w:color w:val="000000"/>
          <w:sz w:val="0"/>
        </w:rPr>
      </w:pPr>
      <w:r>
        <w:rPr>
          <w:color w:val="000000"/>
        </w:rPr>
        <w:t>Reference: point (d)(ii) of Article 22(3) CPR and Article 8 ERDF and CF Regulation</w:t>
      </w:r>
    </w:p>
    <w:p w14:paraId="138CD948" w14:textId="77777777" w:rsidR="00A77B3E" w:rsidRDefault="00000000">
      <w:pPr>
        <w:pStyle w:val="Heading5"/>
        <w:spacing w:before="100" w:after="0"/>
        <w:rPr>
          <w:b w:val="0"/>
          <w:i w:val="0"/>
          <w:color w:val="000000"/>
          <w:sz w:val="24"/>
        </w:rPr>
      </w:pPr>
      <w:bookmarkStart w:id="85" w:name="_Toc256000242"/>
      <w:r>
        <w:rPr>
          <w:b w:val="0"/>
          <w:i w:val="0"/>
          <w:color w:val="000000"/>
          <w:sz w:val="24"/>
        </w:rPr>
        <w:t>Table 2: Output indicators</w:t>
      </w:r>
      <w:bookmarkEnd w:id="85"/>
    </w:p>
    <w:p w14:paraId="1D784D8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519"/>
        <w:gridCol w:w="632"/>
        <w:gridCol w:w="1592"/>
        <w:gridCol w:w="732"/>
        <w:gridCol w:w="5751"/>
        <w:gridCol w:w="1549"/>
        <w:gridCol w:w="1471"/>
        <w:gridCol w:w="1194"/>
      </w:tblGrid>
      <w:tr w:rsidR="00B82D50" w14:paraId="1DF950D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436B52"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478E781"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561AFA"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55BDDE"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61A759"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5DAF91"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2503ED"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14620E" w14:textId="77777777" w:rsidR="00A77B3E" w:rsidRDefault="00000000">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028D74" w14:textId="77777777" w:rsidR="00A77B3E" w:rsidRDefault="00000000">
            <w:pPr>
              <w:spacing w:before="100"/>
              <w:jc w:val="center"/>
              <w:rPr>
                <w:color w:val="000000"/>
                <w:sz w:val="20"/>
              </w:rPr>
            </w:pPr>
            <w:r>
              <w:rPr>
                <w:color w:val="000000"/>
                <w:sz w:val="20"/>
              </w:rPr>
              <w:t>Target (2029)</w:t>
            </w:r>
          </w:p>
        </w:tc>
      </w:tr>
      <w:tr w:rsidR="00B82D50" w14:paraId="530A1EC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A01132"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C055A7"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A29AC5"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185843"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FED8A8" w14:textId="77777777" w:rsidR="00A77B3E" w:rsidRDefault="00000000">
            <w:pPr>
              <w:spacing w:before="100"/>
              <w:rPr>
                <w:color w:val="000000"/>
                <w:sz w:val="20"/>
              </w:rPr>
            </w:pPr>
            <w:r>
              <w:rPr>
                <w:color w:val="000000"/>
                <w:sz w:val="20"/>
              </w:rPr>
              <w:t>RCO18</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CA8875" w14:textId="77777777" w:rsidR="00A77B3E" w:rsidRDefault="00000000">
            <w:pPr>
              <w:spacing w:before="100"/>
              <w:rPr>
                <w:color w:val="000000"/>
                <w:sz w:val="20"/>
              </w:rPr>
            </w:pPr>
            <w:r>
              <w:rPr>
                <w:color w:val="000000"/>
                <w:sz w:val="20"/>
              </w:rPr>
              <w:t>Affordable and sustainable dwellings with improved energy performance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E1F222" w14:textId="77777777" w:rsidR="00A77B3E" w:rsidRDefault="00000000">
            <w:pPr>
              <w:spacing w:before="100"/>
              <w:rPr>
                <w:color w:val="000000"/>
                <w:sz w:val="20"/>
              </w:rPr>
            </w:pPr>
            <w:r>
              <w:rPr>
                <w:color w:val="000000"/>
                <w:sz w:val="20"/>
              </w:rPr>
              <w:t>dwellings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12BF1F"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3AC7A6" w14:textId="77777777" w:rsidR="00A77B3E" w:rsidRDefault="00000000">
            <w:pPr>
              <w:spacing w:before="100"/>
              <w:jc w:val="right"/>
              <w:rPr>
                <w:color w:val="000000"/>
                <w:sz w:val="20"/>
              </w:rPr>
            </w:pPr>
            <w:r>
              <w:rPr>
                <w:color w:val="000000"/>
                <w:sz w:val="20"/>
              </w:rPr>
              <w:t>140.00</w:t>
            </w:r>
          </w:p>
        </w:tc>
      </w:tr>
      <w:tr w:rsidR="00B82D50" w14:paraId="6AAA409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4B41F5"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2E3E67"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1CCC9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E06D4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CE1DA1" w14:textId="77777777" w:rsidR="00A77B3E" w:rsidRDefault="00000000">
            <w:pPr>
              <w:spacing w:before="100"/>
              <w:rPr>
                <w:color w:val="000000"/>
                <w:sz w:val="20"/>
              </w:rPr>
            </w:pPr>
            <w:r>
              <w:rPr>
                <w:color w:val="000000"/>
                <w:sz w:val="20"/>
              </w:rPr>
              <w:t>RCO65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539097" w14:textId="77777777" w:rsidR="00A77B3E" w:rsidRDefault="00000000">
            <w:pPr>
              <w:spacing w:before="100"/>
              <w:rPr>
                <w:color w:val="000000"/>
                <w:sz w:val="20"/>
              </w:rPr>
            </w:pPr>
            <w:r>
              <w:rPr>
                <w:color w:val="000000"/>
                <w:sz w:val="20"/>
              </w:rPr>
              <w:t xml:space="preserve">Capacity of new or </w:t>
            </w:r>
            <w:proofErr w:type="spellStart"/>
            <w:r>
              <w:rPr>
                <w:color w:val="000000"/>
                <w:sz w:val="20"/>
              </w:rPr>
              <w:t>modernised</w:t>
            </w:r>
            <w:proofErr w:type="spellEnd"/>
            <w:r>
              <w:rPr>
                <w:color w:val="000000"/>
                <w:sz w:val="20"/>
              </w:rPr>
              <w:t xml:space="preserve"> social, affordable and sustainable housing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DED3C4" w14:textId="77777777" w:rsidR="00A77B3E" w:rsidRDefault="00000000">
            <w:pPr>
              <w:spacing w:before="100"/>
              <w:rPr>
                <w:color w:val="000000"/>
                <w:sz w:val="20"/>
              </w:rPr>
            </w:pPr>
            <w:r>
              <w:rPr>
                <w:color w:val="000000"/>
                <w:sz w:val="20"/>
              </w:rPr>
              <w:t>persons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6EB0B0"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7D2967" w14:textId="77777777" w:rsidR="00A77B3E" w:rsidRDefault="00000000">
            <w:pPr>
              <w:spacing w:before="100"/>
              <w:jc w:val="right"/>
              <w:rPr>
                <w:color w:val="000000"/>
                <w:sz w:val="20"/>
              </w:rPr>
            </w:pPr>
            <w:r>
              <w:rPr>
                <w:color w:val="000000"/>
                <w:sz w:val="20"/>
              </w:rPr>
              <w:t>350.00</w:t>
            </w:r>
          </w:p>
        </w:tc>
      </w:tr>
    </w:tbl>
    <w:p w14:paraId="207DABF7" w14:textId="77777777" w:rsidR="00A77B3E" w:rsidRDefault="00A77B3E">
      <w:pPr>
        <w:spacing w:before="100"/>
        <w:rPr>
          <w:color w:val="000000"/>
          <w:sz w:val="20"/>
        </w:rPr>
      </w:pPr>
    </w:p>
    <w:p w14:paraId="103AEFE9" w14:textId="77777777" w:rsidR="00A77B3E" w:rsidRDefault="00000000">
      <w:pPr>
        <w:spacing w:before="100"/>
        <w:rPr>
          <w:color w:val="000000"/>
          <w:sz w:val="0"/>
        </w:rPr>
      </w:pPr>
      <w:r>
        <w:rPr>
          <w:color w:val="000000"/>
        </w:rPr>
        <w:t>Reference: point (d)(ii) of Article 22(3) CPR</w:t>
      </w:r>
    </w:p>
    <w:p w14:paraId="40127491" w14:textId="77777777" w:rsidR="00A77B3E" w:rsidRDefault="00000000">
      <w:pPr>
        <w:pStyle w:val="Heading5"/>
        <w:spacing w:before="100" w:after="0"/>
        <w:rPr>
          <w:b w:val="0"/>
          <w:i w:val="0"/>
          <w:color w:val="000000"/>
          <w:sz w:val="24"/>
        </w:rPr>
      </w:pPr>
      <w:bookmarkStart w:id="86" w:name="_Toc256000243"/>
      <w:r>
        <w:rPr>
          <w:b w:val="0"/>
          <w:i w:val="0"/>
          <w:color w:val="000000"/>
          <w:sz w:val="24"/>
        </w:rPr>
        <w:t>Table 3: Result indicators</w:t>
      </w:r>
      <w:bookmarkEnd w:id="86"/>
    </w:p>
    <w:p w14:paraId="1F0EBDFD"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922"/>
        <w:gridCol w:w="632"/>
        <w:gridCol w:w="1003"/>
        <w:gridCol w:w="721"/>
        <w:gridCol w:w="1927"/>
        <w:gridCol w:w="1258"/>
        <w:gridCol w:w="992"/>
        <w:gridCol w:w="970"/>
        <w:gridCol w:w="856"/>
        <w:gridCol w:w="2093"/>
        <w:gridCol w:w="3065"/>
      </w:tblGrid>
      <w:tr w:rsidR="00B82D50" w14:paraId="5383DCE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9B4830" w14:textId="77777777" w:rsidR="00A77B3E" w:rsidRDefault="00000000">
            <w:pPr>
              <w:spacing w:before="100"/>
              <w:jc w:val="center"/>
              <w:rPr>
                <w:color w:val="000000"/>
                <w:sz w:val="20"/>
              </w:rPr>
            </w:pPr>
            <w:r>
              <w:rPr>
                <w:color w:val="000000"/>
                <w:sz w:val="20"/>
              </w:rPr>
              <w:lastRenderedPageBreak/>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2D1288"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2CD4F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F37866"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05ECB62"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AD187C"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913B7E"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A42EF5" w14:textId="77777777" w:rsidR="00A77B3E" w:rsidRDefault="00000000">
            <w:pPr>
              <w:spacing w:before="100"/>
              <w:jc w:val="center"/>
              <w:rPr>
                <w:color w:val="000000"/>
                <w:sz w:val="20"/>
              </w:rPr>
            </w:pPr>
            <w:r>
              <w:rPr>
                <w:color w:val="000000"/>
                <w:sz w:val="20"/>
              </w:rPr>
              <w:t>Baseline or reference value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AA5336" w14:textId="77777777" w:rsidR="00A77B3E" w:rsidRDefault="00000000">
            <w:pPr>
              <w:spacing w:before="100"/>
              <w:jc w:val="center"/>
              <w:rPr>
                <w:color w:val="000000"/>
                <w:sz w:val="20"/>
              </w:rPr>
            </w:pPr>
            <w:r>
              <w:rPr>
                <w:color w:val="000000"/>
                <w:sz w:val="20"/>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646E8CD" w14:textId="77777777" w:rsidR="00A77B3E" w:rsidRDefault="00000000">
            <w:pPr>
              <w:spacing w:before="100"/>
              <w:jc w:val="center"/>
              <w:rPr>
                <w:color w:val="000000"/>
                <w:sz w:val="20"/>
              </w:rPr>
            </w:pPr>
            <w:r>
              <w:rPr>
                <w:color w:val="000000"/>
                <w:sz w:val="20"/>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5DE46D" w14:textId="77777777" w:rsidR="00A77B3E" w:rsidRDefault="00000000">
            <w:pPr>
              <w:spacing w:before="100"/>
              <w:jc w:val="center"/>
              <w:rPr>
                <w:color w:val="000000"/>
                <w:sz w:val="20"/>
              </w:rPr>
            </w:pPr>
            <w:r>
              <w:rPr>
                <w:color w:val="000000"/>
                <w:sz w:val="20"/>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110F47" w14:textId="77777777" w:rsidR="00A77B3E" w:rsidRDefault="00000000">
            <w:pPr>
              <w:spacing w:before="100"/>
              <w:jc w:val="center"/>
              <w:rPr>
                <w:color w:val="000000"/>
                <w:sz w:val="20"/>
              </w:rPr>
            </w:pPr>
            <w:r>
              <w:rPr>
                <w:color w:val="000000"/>
                <w:sz w:val="20"/>
              </w:rPr>
              <w:t>Comments</w:t>
            </w:r>
          </w:p>
        </w:tc>
      </w:tr>
      <w:tr w:rsidR="00B82D50" w14:paraId="6DA33EE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BF4A8A"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9B4CD3"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DF1971"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FAEE9"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45F696" w14:textId="77777777" w:rsidR="00A77B3E" w:rsidRDefault="00000000">
            <w:pPr>
              <w:spacing w:before="100"/>
              <w:rPr>
                <w:color w:val="000000"/>
                <w:sz w:val="20"/>
              </w:rPr>
            </w:pPr>
            <w:r>
              <w:rPr>
                <w:color w:val="000000"/>
                <w:sz w:val="20"/>
              </w:rPr>
              <w:t>RCR26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11BF72" w14:textId="77777777" w:rsidR="00A77B3E" w:rsidRDefault="00000000">
            <w:pPr>
              <w:spacing w:before="100"/>
              <w:rPr>
                <w:color w:val="000000"/>
                <w:sz w:val="20"/>
              </w:rPr>
            </w:pPr>
            <w:r>
              <w:rPr>
                <w:color w:val="000000"/>
                <w:sz w:val="20"/>
              </w:rPr>
              <w:t>Annual primary energy consumption (of which: affordable and sustainable dwellings, public buildings, enterprises, other)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EA41EC" w14:textId="77777777" w:rsidR="00A77B3E" w:rsidRDefault="00000000">
            <w:pPr>
              <w:spacing w:before="100"/>
              <w:rPr>
                <w:color w:val="000000"/>
                <w:sz w:val="20"/>
              </w:rPr>
            </w:pPr>
            <w:r>
              <w:rPr>
                <w:color w:val="000000"/>
                <w:sz w:val="20"/>
              </w:rPr>
              <w:t>MWh/year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EFB57B" w14:textId="77777777" w:rsidR="00A77B3E" w:rsidRDefault="00000000">
            <w:pPr>
              <w:spacing w:before="100"/>
              <w:jc w:val="right"/>
              <w:rPr>
                <w:color w:val="000000"/>
                <w:sz w:val="20"/>
              </w:rPr>
            </w:pPr>
            <w:r>
              <w:rPr>
                <w:color w:val="000000"/>
                <w:sz w:val="20"/>
              </w:rPr>
              <w:t>4,772.00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11F2BE" w14:textId="77777777" w:rsidR="00A77B3E" w:rsidRDefault="00000000">
            <w:pPr>
              <w:spacing w:before="100"/>
              <w:jc w:val="center"/>
              <w:rPr>
                <w:color w:val="000000"/>
                <w:sz w:val="20"/>
              </w:rPr>
            </w:pPr>
            <w:r>
              <w:rPr>
                <w:color w:val="000000"/>
                <w:sz w:val="20"/>
              </w:rPr>
              <w:t>2026-2029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9A52AB" w14:textId="77777777" w:rsidR="00A77B3E" w:rsidRDefault="00000000">
            <w:pPr>
              <w:spacing w:before="100"/>
              <w:jc w:val="right"/>
              <w:rPr>
                <w:color w:val="000000"/>
                <w:sz w:val="20"/>
              </w:rPr>
            </w:pPr>
            <w:r>
              <w:rPr>
                <w:color w:val="000000"/>
                <w:sz w:val="20"/>
              </w:rPr>
              <w:t>1,403.00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623654" w14:textId="77777777" w:rsidR="00A77B3E" w:rsidRDefault="00000000">
            <w:pPr>
              <w:spacing w:before="100"/>
              <w:rPr>
                <w:color w:val="000000"/>
                <w:sz w:val="20"/>
              </w:rPr>
            </w:pPr>
            <w:r>
              <w:rPr>
                <w:color w:val="000000"/>
                <w:sz w:val="20"/>
              </w:rPr>
              <w:t>Pre-works and post-works EPC/BER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CADD93" w14:textId="77777777" w:rsidR="00A77B3E" w:rsidRDefault="00A77B3E">
            <w:pPr>
              <w:spacing w:before="100"/>
              <w:rPr>
                <w:color w:val="000000"/>
                <w:sz w:val="20"/>
              </w:rPr>
            </w:pPr>
          </w:p>
        </w:tc>
      </w:tr>
      <w:tr w:rsidR="00B82D50" w14:paraId="0104B58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B1BA81"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4CA786"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C3B684"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3DC318"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721ABA" w14:textId="77777777" w:rsidR="00A77B3E" w:rsidRDefault="00000000">
            <w:pPr>
              <w:spacing w:before="100"/>
              <w:rPr>
                <w:color w:val="000000"/>
                <w:sz w:val="20"/>
              </w:rPr>
            </w:pPr>
            <w:r>
              <w:rPr>
                <w:color w:val="000000"/>
                <w:sz w:val="20"/>
              </w:rPr>
              <w:t>RCR29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783573" w14:textId="77777777" w:rsidR="00A77B3E" w:rsidRDefault="00000000">
            <w:pPr>
              <w:spacing w:before="100"/>
              <w:rPr>
                <w:color w:val="000000"/>
                <w:sz w:val="20"/>
              </w:rPr>
            </w:pPr>
            <w:r>
              <w:rPr>
                <w:color w:val="000000"/>
                <w:sz w:val="20"/>
              </w:rPr>
              <w:t>Estimated greenhouse emissions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A766F3" w14:textId="77777777" w:rsidR="00A77B3E" w:rsidRDefault="00000000">
            <w:pPr>
              <w:spacing w:before="100"/>
              <w:rPr>
                <w:color w:val="000000"/>
                <w:sz w:val="20"/>
              </w:rPr>
            </w:pPr>
            <w:proofErr w:type="spellStart"/>
            <w:r>
              <w:rPr>
                <w:color w:val="000000"/>
                <w:sz w:val="20"/>
              </w:rPr>
              <w:t>tonnes</w:t>
            </w:r>
            <w:proofErr w:type="spellEnd"/>
            <w:r>
              <w:rPr>
                <w:color w:val="000000"/>
                <w:sz w:val="20"/>
              </w:rPr>
              <w:t xml:space="preserve"> CO2 eq./year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2560E2" w14:textId="77777777" w:rsidR="00A77B3E" w:rsidRDefault="00000000">
            <w:pPr>
              <w:spacing w:before="100"/>
              <w:jc w:val="right"/>
              <w:rPr>
                <w:color w:val="000000"/>
                <w:sz w:val="20"/>
              </w:rPr>
            </w:pPr>
            <w:r>
              <w:rPr>
                <w:color w:val="000000"/>
                <w:sz w:val="20"/>
              </w:rPr>
              <w:t>1,080.00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026118" w14:textId="77777777" w:rsidR="00A77B3E" w:rsidRDefault="00000000">
            <w:pPr>
              <w:spacing w:before="100"/>
              <w:jc w:val="center"/>
              <w:rPr>
                <w:color w:val="000000"/>
                <w:sz w:val="20"/>
              </w:rPr>
            </w:pPr>
            <w:r>
              <w:rPr>
                <w:color w:val="000000"/>
                <w:sz w:val="20"/>
              </w:rPr>
              <w:t>2025-2029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3A8E3" w14:textId="77777777" w:rsidR="00A77B3E" w:rsidRDefault="00000000">
            <w:pPr>
              <w:spacing w:before="100"/>
              <w:jc w:val="right"/>
              <w:rPr>
                <w:color w:val="000000"/>
                <w:sz w:val="20"/>
              </w:rPr>
            </w:pPr>
            <w:r>
              <w:rPr>
                <w:color w:val="000000"/>
                <w:sz w:val="20"/>
              </w:rPr>
              <w:t>318.00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82FE22" w14:textId="77777777" w:rsidR="00A77B3E" w:rsidRDefault="00000000">
            <w:pPr>
              <w:spacing w:before="100"/>
              <w:rPr>
                <w:color w:val="000000"/>
                <w:sz w:val="20"/>
              </w:rPr>
            </w:pPr>
            <w:r>
              <w:rPr>
                <w:color w:val="000000"/>
                <w:sz w:val="20"/>
              </w:rPr>
              <w:t>Total energy in kWh multiplied by the emission factor, i.e., the coefficient that describes the rate at which a given activity/fuel releases greenhouse gases.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5C26F6" w14:textId="77777777" w:rsidR="00A77B3E" w:rsidRDefault="00000000">
            <w:pPr>
              <w:spacing w:before="100"/>
              <w:rPr>
                <w:color w:val="000000"/>
                <w:sz w:val="20"/>
              </w:rPr>
            </w:pPr>
            <w:r>
              <w:rPr>
                <w:color w:val="000000"/>
                <w:sz w:val="20"/>
              </w:rPr>
              <w:t xml:space="preserve">2024 SEAI emission factor of 226.3 gCO2/kWh taken from SEAI website 03/02/2026  https://www.seai.ie/data-and-insights/seai-statistics/conversion-factors </w:t>
            </w:r>
          </w:p>
          <w:p w14:paraId="754F5F37" w14:textId="77777777" w:rsidR="00A77B3E" w:rsidRDefault="00A77B3E">
            <w:pPr>
              <w:spacing w:before="100"/>
              <w:rPr>
                <w:color w:val="000000"/>
                <w:sz w:val="20"/>
              </w:rPr>
            </w:pPr>
          </w:p>
        </w:tc>
      </w:tr>
      <w:tr w:rsidR="00B82D50" w14:paraId="2177DA7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B38DFF"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B46B3"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B44F47"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23DF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203195" w14:textId="77777777" w:rsidR="00A77B3E" w:rsidRDefault="00000000">
            <w:pPr>
              <w:spacing w:before="100"/>
              <w:rPr>
                <w:color w:val="000000"/>
                <w:sz w:val="20"/>
              </w:rPr>
            </w:pPr>
            <w:r>
              <w:rPr>
                <w:color w:val="000000"/>
                <w:sz w:val="20"/>
              </w:rPr>
              <w:t>RCR67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1AD68E" w14:textId="77777777" w:rsidR="00A77B3E" w:rsidRDefault="00000000">
            <w:pPr>
              <w:spacing w:before="100"/>
              <w:rPr>
                <w:color w:val="000000"/>
                <w:sz w:val="20"/>
              </w:rPr>
            </w:pPr>
            <w:r>
              <w:rPr>
                <w:color w:val="000000"/>
                <w:sz w:val="20"/>
              </w:rPr>
              <w:t xml:space="preserve">Annual users of new or </w:t>
            </w:r>
            <w:proofErr w:type="spellStart"/>
            <w:r>
              <w:rPr>
                <w:color w:val="000000"/>
                <w:sz w:val="20"/>
              </w:rPr>
              <w:t>modernised</w:t>
            </w:r>
            <w:proofErr w:type="spellEnd"/>
            <w:r>
              <w:rPr>
                <w:color w:val="000000"/>
                <w:sz w:val="20"/>
              </w:rPr>
              <w:t xml:space="preserve"> affordable, sustainable and social housing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A5CC9E" w14:textId="77777777" w:rsidR="00A77B3E" w:rsidRDefault="00000000">
            <w:pPr>
              <w:spacing w:before="100"/>
              <w:rPr>
                <w:color w:val="000000"/>
                <w:sz w:val="20"/>
              </w:rPr>
            </w:pPr>
            <w:r>
              <w:rPr>
                <w:color w:val="000000"/>
                <w:sz w:val="20"/>
              </w:rPr>
              <w:t>users/year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A7AABB"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4D9FFA" w14:textId="77777777" w:rsidR="00A77B3E" w:rsidRDefault="00000000">
            <w:pPr>
              <w:spacing w:before="100"/>
              <w:jc w:val="center"/>
              <w:rPr>
                <w:color w:val="000000"/>
                <w:sz w:val="20"/>
              </w:rPr>
            </w:pPr>
            <w:r>
              <w:rPr>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FEFDB5" w14:textId="77777777" w:rsidR="00A77B3E" w:rsidRDefault="00000000">
            <w:pPr>
              <w:spacing w:before="100"/>
              <w:jc w:val="right"/>
              <w:rPr>
                <w:color w:val="000000"/>
                <w:sz w:val="20"/>
              </w:rPr>
            </w:pPr>
            <w:r>
              <w:rPr>
                <w:color w:val="000000"/>
                <w:sz w:val="20"/>
              </w:rPr>
              <w:t>350.00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57D1F5" w14:textId="77777777" w:rsidR="00A77B3E" w:rsidRDefault="00000000">
            <w:pPr>
              <w:spacing w:before="100"/>
              <w:rPr>
                <w:color w:val="000000"/>
                <w:sz w:val="20"/>
              </w:rPr>
            </w:pPr>
            <w:r>
              <w:rPr>
                <w:color w:val="000000"/>
                <w:sz w:val="20"/>
              </w:rPr>
              <w:t>LA data on rental agreements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1E8F9B" w14:textId="77777777" w:rsidR="00A77B3E" w:rsidRDefault="00A77B3E">
            <w:pPr>
              <w:spacing w:before="100"/>
              <w:rPr>
                <w:color w:val="000000"/>
                <w:sz w:val="20"/>
              </w:rPr>
            </w:pPr>
          </w:p>
        </w:tc>
      </w:tr>
    </w:tbl>
    <w:p w14:paraId="0E05DB8F" w14:textId="77777777" w:rsidR="00A77B3E" w:rsidRDefault="00A77B3E">
      <w:pPr>
        <w:spacing w:before="100"/>
        <w:rPr>
          <w:color w:val="000000"/>
          <w:sz w:val="20"/>
        </w:rPr>
      </w:pPr>
    </w:p>
    <w:p w14:paraId="11C4B0E1" w14:textId="77777777" w:rsidR="00A77B3E" w:rsidRDefault="00000000">
      <w:pPr>
        <w:pStyle w:val="Heading4"/>
        <w:spacing w:before="100" w:after="0"/>
        <w:rPr>
          <w:b w:val="0"/>
          <w:color w:val="000000"/>
          <w:sz w:val="24"/>
        </w:rPr>
      </w:pPr>
      <w:bookmarkStart w:id="87" w:name="_Toc256000244"/>
      <w:r>
        <w:rPr>
          <w:b w:val="0"/>
          <w:color w:val="000000"/>
          <w:sz w:val="24"/>
        </w:rPr>
        <w:t>2.1.1.1.3. Indicative breakdown of the programmed resources (EU) by type of intervention</w:t>
      </w:r>
      <w:bookmarkEnd w:id="87"/>
    </w:p>
    <w:p w14:paraId="41C2567E" w14:textId="77777777" w:rsidR="00A77B3E" w:rsidRDefault="00A77B3E">
      <w:pPr>
        <w:spacing w:before="100"/>
        <w:rPr>
          <w:color w:val="000000"/>
          <w:sz w:val="0"/>
        </w:rPr>
      </w:pPr>
    </w:p>
    <w:p w14:paraId="577D06CC" w14:textId="77777777" w:rsidR="00A77B3E" w:rsidRDefault="00000000">
      <w:pPr>
        <w:spacing w:before="100"/>
        <w:rPr>
          <w:color w:val="000000"/>
          <w:sz w:val="0"/>
        </w:rPr>
      </w:pPr>
      <w:r>
        <w:rPr>
          <w:color w:val="000000"/>
        </w:rPr>
        <w:t>Reference: point (d)(viii) of Article 22(3) CPR</w:t>
      </w:r>
    </w:p>
    <w:p w14:paraId="727AB6F1" w14:textId="77777777" w:rsidR="00A77B3E" w:rsidRDefault="00000000">
      <w:pPr>
        <w:pStyle w:val="Heading5"/>
        <w:spacing w:before="100" w:after="0"/>
        <w:rPr>
          <w:b w:val="0"/>
          <w:i w:val="0"/>
          <w:color w:val="000000"/>
          <w:sz w:val="24"/>
        </w:rPr>
      </w:pPr>
      <w:bookmarkStart w:id="88" w:name="_Toc256000245"/>
      <w:r>
        <w:rPr>
          <w:b w:val="0"/>
          <w:i w:val="0"/>
          <w:color w:val="000000"/>
          <w:sz w:val="24"/>
        </w:rPr>
        <w:t>Table 4: Dimension 1 - intervention field</w:t>
      </w:r>
      <w:bookmarkEnd w:id="88"/>
    </w:p>
    <w:p w14:paraId="68C93EE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394"/>
        <w:gridCol w:w="632"/>
        <w:gridCol w:w="1468"/>
        <w:gridCol w:w="9608"/>
        <w:gridCol w:w="1338"/>
      </w:tblGrid>
      <w:tr w:rsidR="00B82D50" w14:paraId="2109C22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7EE76F"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8133B1"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A8C0C6"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F863F7"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1FD41F"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19777D" w14:textId="77777777" w:rsidR="00A77B3E" w:rsidRDefault="00000000">
            <w:pPr>
              <w:spacing w:before="100"/>
              <w:jc w:val="center"/>
              <w:rPr>
                <w:color w:val="000000"/>
                <w:sz w:val="20"/>
              </w:rPr>
            </w:pPr>
            <w:r>
              <w:rPr>
                <w:color w:val="000000"/>
                <w:sz w:val="20"/>
              </w:rPr>
              <w:t>Amount (EUR)</w:t>
            </w:r>
          </w:p>
        </w:tc>
      </w:tr>
      <w:tr w:rsidR="00B82D50" w14:paraId="577F051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6A913D"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528BAE"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C566BA"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02E993"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C79DD8" w14:textId="77777777" w:rsidR="00A77B3E" w:rsidRDefault="00000000">
            <w:pPr>
              <w:spacing w:before="100"/>
              <w:rPr>
                <w:color w:val="000000"/>
                <w:sz w:val="20"/>
              </w:rPr>
            </w:pPr>
            <w:r>
              <w:rPr>
                <w:color w:val="000000"/>
                <w:sz w:val="20"/>
              </w:rPr>
              <w:t>042. Energy efficiency renovation of existing housing stock, demonstration projects and supporting measures compliant with energy efficiency criteria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FF4176" w14:textId="77777777" w:rsidR="00A77B3E" w:rsidRDefault="00000000">
            <w:pPr>
              <w:spacing w:before="100"/>
              <w:jc w:val="right"/>
              <w:rPr>
                <w:color w:val="000000"/>
                <w:sz w:val="20"/>
              </w:rPr>
            </w:pPr>
            <w:r>
              <w:rPr>
                <w:color w:val="000000"/>
                <w:sz w:val="20"/>
              </w:rPr>
              <w:t>24,000,001.00</w:t>
            </w:r>
          </w:p>
        </w:tc>
      </w:tr>
      <w:tr w:rsidR="00B82D50" w14:paraId="0FE12A9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F3FAAF"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E4DA8D"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A117EE"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1FF4F3"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051945"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A743CF" w14:textId="77777777" w:rsidR="00A77B3E" w:rsidRDefault="00000000">
            <w:pPr>
              <w:spacing w:before="100"/>
              <w:jc w:val="right"/>
              <w:rPr>
                <w:color w:val="000000"/>
                <w:sz w:val="20"/>
              </w:rPr>
            </w:pPr>
            <w:r>
              <w:rPr>
                <w:color w:val="000000"/>
                <w:sz w:val="20"/>
              </w:rPr>
              <w:t>24,000,001.00</w:t>
            </w:r>
          </w:p>
        </w:tc>
      </w:tr>
    </w:tbl>
    <w:p w14:paraId="4C2B2317" w14:textId="77777777" w:rsidR="00A77B3E" w:rsidRDefault="00A77B3E">
      <w:pPr>
        <w:spacing w:before="100"/>
        <w:rPr>
          <w:color w:val="000000"/>
          <w:sz w:val="20"/>
        </w:rPr>
      </w:pPr>
    </w:p>
    <w:p w14:paraId="2DEE1375" w14:textId="77777777" w:rsidR="00A77B3E" w:rsidRDefault="00000000">
      <w:pPr>
        <w:pStyle w:val="Heading5"/>
        <w:spacing w:before="100" w:after="0"/>
        <w:rPr>
          <w:b w:val="0"/>
          <w:i w:val="0"/>
          <w:color w:val="000000"/>
          <w:sz w:val="24"/>
        </w:rPr>
      </w:pPr>
      <w:bookmarkStart w:id="89" w:name="_Toc256000246"/>
      <w:r>
        <w:rPr>
          <w:b w:val="0"/>
          <w:i w:val="0"/>
          <w:color w:val="000000"/>
          <w:sz w:val="24"/>
        </w:rPr>
        <w:lastRenderedPageBreak/>
        <w:t>Table 5: Dimension 2 - form of financing</w:t>
      </w:r>
      <w:bookmarkEnd w:id="89"/>
    </w:p>
    <w:p w14:paraId="216D2AC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84"/>
        <w:gridCol w:w="1412"/>
        <w:gridCol w:w="3645"/>
        <w:gridCol w:w="1958"/>
        <w:gridCol w:w="3037"/>
      </w:tblGrid>
      <w:tr w:rsidR="00B82D50" w14:paraId="7E7AE891"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0EBB67"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385793"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8497A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BB38E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842368"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4F2CEA" w14:textId="77777777" w:rsidR="00A77B3E" w:rsidRDefault="00000000">
            <w:pPr>
              <w:spacing w:before="100"/>
              <w:jc w:val="center"/>
              <w:rPr>
                <w:color w:val="000000"/>
                <w:sz w:val="20"/>
              </w:rPr>
            </w:pPr>
            <w:r>
              <w:rPr>
                <w:color w:val="000000"/>
                <w:sz w:val="20"/>
              </w:rPr>
              <w:t>Amount (EUR)</w:t>
            </w:r>
          </w:p>
        </w:tc>
      </w:tr>
      <w:tr w:rsidR="00B82D50" w14:paraId="5B96A01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390187"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FC85D0"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A65A6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E5D83B"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A55AF3" w14:textId="77777777" w:rsidR="00A77B3E" w:rsidRDefault="00000000">
            <w:pPr>
              <w:spacing w:before="100"/>
              <w:rPr>
                <w:color w:val="000000"/>
                <w:sz w:val="20"/>
              </w:rPr>
            </w:pPr>
            <w:r>
              <w:rPr>
                <w:color w:val="000000"/>
                <w:sz w:val="2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9EFE82" w14:textId="77777777" w:rsidR="00A77B3E" w:rsidRDefault="00000000">
            <w:pPr>
              <w:spacing w:before="100"/>
              <w:jc w:val="right"/>
              <w:rPr>
                <w:color w:val="000000"/>
                <w:sz w:val="20"/>
              </w:rPr>
            </w:pPr>
            <w:r>
              <w:rPr>
                <w:color w:val="000000"/>
                <w:sz w:val="20"/>
              </w:rPr>
              <w:t>24,000,001.00</w:t>
            </w:r>
          </w:p>
        </w:tc>
      </w:tr>
      <w:tr w:rsidR="00B82D50" w14:paraId="3DBF66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88442F"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AC90E5"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3F8885"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651C4D"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FB8279"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C94741" w14:textId="77777777" w:rsidR="00A77B3E" w:rsidRDefault="00000000">
            <w:pPr>
              <w:spacing w:before="100"/>
              <w:jc w:val="right"/>
              <w:rPr>
                <w:color w:val="000000"/>
                <w:sz w:val="20"/>
              </w:rPr>
            </w:pPr>
            <w:r>
              <w:rPr>
                <w:color w:val="000000"/>
                <w:sz w:val="20"/>
              </w:rPr>
              <w:t>24,000,001.00</w:t>
            </w:r>
          </w:p>
        </w:tc>
      </w:tr>
    </w:tbl>
    <w:p w14:paraId="72D1C691" w14:textId="77777777" w:rsidR="00A77B3E" w:rsidRDefault="00A77B3E">
      <w:pPr>
        <w:spacing w:before="100"/>
        <w:rPr>
          <w:color w:val="000000"/>
          <w:sz w:val="20"/>
        </w:rPr>
      </w:pPr>
    </w:p>
    <w:p w14:paraId="74BBA7D4" w14:textId="77777777" w:rsidR="00A77B3E" w:rsidRDefault="00000000">
      <w:pPr>
        <w:pStyle w:val="Heading5"/>
        <w:spacing w:before="100" w:after="0"/>
        <w:rPr>
          <w:b w:val="0"/>
          <w:i w:val="0"/>
          <w:color w:val="000000"/>
          <w:sz w:val="24"/>
        </w:rPr>
      </w:pPr>
      <w:bookmarkStart w:id="90" w:name="_Toc256000247"/>
      <w:r>
        <w:rPr>
          <w:b w:val="0"/>
          <w:i w:val="0"/>
          <w:color w:val="000000"/>
          <w:sz w:val="24"/>
        </w:rPr>
        <w:t>Table 6: Dimension 3 – territorial delivery mechanism and territorial focus</w:t>
      </w:r>
      <w:bookmarkEnd w:id="90"/>
    </w:p>
    <w:p w14:paraId="5E22534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
        <w:gridCol w:w="2363"/>
        <w:gridCol w:w="958"/>
        <w:gridCol w:w="2472"/>
        <w:gridCol w:w="6211"/>
        <w:gridCol w:w="2060"/>
      </w:tblGrid>
      <w:tr w:rsidR="00B82D50" w14:paraId="14D6ADD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E25802"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5736EB"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E2A852"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600830"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26EE55"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9204FF" w14:textId="77777777" w:rsidR="00A77B3E" w:rsidRDefault="00000000">
            <w:pPr>
              <w:spacing w:before="100"/>
              <w:jc w:val="center"/>
              <w:rPr>
                <w:color w:val="000000"/>
                <w:sz w:val="20"/>
              </w:rPr>
            </w:pPr>
            <w:r>
              <w:rPr>
                <w:color w:val="000000"/>
                <w:sz w:val="20"/>
              </w:rPr>
              <w:t>Amount (EUR)</w:t>
            </w:r>
          </w:p>
        </w:tc>
      </w:tr>
      <w:tr w:rsidR="00B82D50" w14:paraId="5E4F2EF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D7C6AF"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EDD62F"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3E7BCD"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20402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4B4DAC" w14:textId="77777777" w:rsidR="00A77B3E" w:rsidRDefault="00000000">
            <w:pPr>
              <w:spacing w:before="100"/>
              <w:rPr>
                <w:color w:val="000000"/>
                <w:sz w:val="20"/>
              </w:rPr>
            </w:pPr>
            <w:r>
              <w:rPr>
                <w:color w:val="000000"/>
                <w:sz w:val="20"/>
              </w:rPr>
              <w:t>26. Other  approaches - Cities, towns and suburbs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EFB067" w14:textId="77777777" w:rsidR="00A77B3E" w:rsidRDefault="00000000">
            <w:pPr>
              <w:spacing w:before="100"/>
              <w:jc w:val="right"/>
              <w:rPr>
                <w:color w:val="000000"/>
                <w:sz w:val="20"/>
              </w:rPr>
            </w:pPr>
            <w:r>
              <w:rPr>
                <w:color w:val="000000"/>
                <w:sz w:val="20"/>
              </w:rPr>
              <w:t>24,000,001.00</w:t>
            </w:r>
          </w:p>
        </w:tc>
      </w:tr>
      <w:tr w:rsidR="00B82D50" w14:paraId="10BA933B"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CA9C5E"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DD90AC"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03FE1D"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385A07"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E2A0EC"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446A9B" w14:textId="77777777" w:rsidR="00A77B3E" w:rsidRDefault="00000000">
            <w:pPr>
              <w:spacing w:before="100"/>
              <w:jc w:val="right"/>
              <w:rPr>
                <w:color w:val="000000"/>
                <w:sz w:val="20"/>
              </w:rPr>
            </w:pPr>
            <w:r>
              <w:rPr>
                <w:color w:val="000000"/>
                <w:sz w:val="20"/>
              </w:rPr>
              <w:t>24,000,001.00</w:t>
            </w:r>
          </w:p>
        </w:tc>
      </w:tr>
    </w:tbl>
    <w:p w14:paraId="60AEE685" w14:textId="77777777" w:rsidR="00A77B3E" w:rsidRDefault="00A77B3E">
      <w:pPr>
        <w:spacing w:before="100"/>
        <w:rPr>
          <w:color w:val="000000"/>
          <w:sz w:val="20"/>
        </w:rPr>
      </w:pPr>
    </w:p>
    <w:p w14:paraId="30CE5CFA" w14:textId="77777777" w:rsidR="00A77B3E" w:rsidRDefault="00000000">
      <w:pPr>
        <w:pStyle w:val="Heading5"/>
        <w:spacing w:before="100" w:after="0"/>
        <w:rPr>
          <w:b w:val="0"/>
          <w:i w:val="0"/>
          <w:color w:val="000000"/>
          <w:sz w:val="24"/>
        </w:rPr>
      </w:pPr>
      <w:bookmarkStart w:id="91" w:name="_Toc256000248"/>
      <w:r>
        <w:rPr>
          <w:b w:val="0"/>
          <w:i w:val="0"/>
          <w:color w:val="000000"/>
          <w:sz w:val="24"/>
        </w:rPr>
        <w:t>Table 7: Dimension 6 – ESF+ secondary themes</w:t>
      </w:r>
      <w:bookmarkEnd w:id="91"/>
    </w:p>
    <w:p w14:paraId="77D1A26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21"/>
        <w:gridCol w:w="1270"/>
        <w:gridCol w:w="3893"/>
        <w:gridCol w:w="1296"/>
        <w:gridCol w:w="3244"/>
      </w:tblGrid>
      <w:tr w:rsidR="00B82D50" w14:paraId="1BB4CD1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0515E55"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9CACD6"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9F4BEE"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30E087"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224047"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08EE90" w14:textId="77777777" w:rsidR="00A77B3E" w:rsidRDefault="00000000">
            <w:pPr>
              <w:spacing w:before="100"/>
              <w:jc w:val="center"/>
              <w:rPr>
                <w:color w:val="000000"/>
                <w:sz w:val="20"/>
              </w:rPr>
            </w:pPr>
            <w:r>
              <w:rPr>
                <w:color w:val="000000"/>
                <w:sz w:val="20"/>
              </w:rPr>
              <w:t>Amount (EUR)</w:t>
            </w:r>
          </w:p>
        </w:tc>
      </w:tr>
    </w:tbl>
    <w:p w14:paraId="022C25AD" w14:textId="77777777" w:rsidR="00A77B3E" w:rsidRDefault="00A77B3E">
      <w:pPr>
        <w:spacing w:before="100"/>
        <w:rPr>
          <w:color w:val="000000"/>
          <w:sz w:val="20"/>
        </w:rPr>
      </w:pPr>
    </w:p>
    <w:p w14:paraId="72AE142B" w14:textId="77777777" w:rsidR="00A77B3E" w:rsidRDefault="00000000">
      <w:pPr>
        <w:pStyle w:val="Heading5"/>
        <w:spacing w:before="100" w:after="0"/>
        <w:rPr>
          <w:b w:val="0"/>
          <w:i w:val="0"/>
          <w:color w:val="000000"/>
          <w:sz w:val="24"/>
        </w:rPr>
      </w:pPr>
      <w:bookmarkStart w:id="92" w:name="_Toc256000249"/>
      <w:r>
        <w:rPr>
          <w:b w:val="0"/>
          <w:i w:val="0"/>
          <w:color w:val="000000"/>
          <w:sz w:val="24"/>
        </w:rPr>
        <w:t>Table 8: Dimension 7 – ESF+*, ERDF, Cohesion Fund and JTF gender equality dimension</w:t>
      </w:r>
      <w:bookmarkEnd w:id="92"/>
    </w:p>
    <w:p w14:paraId="1B48A9EA"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3142"/>
        <w:gridCol w:w="1274"/>
        <w:gridCol w:w="3288"/>
        <w:gridCol w:w="3253"/>
        <w:gridCol w:w="2739"/>
      </w:tblGrid>
      <w:tr w:rsidR="00B82D50" w14:paraId="31C0DD6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AB3CF7"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4EAA18"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E036CF"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A35FBD"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9CCCDF"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6C608D" w14:textId="77777777" w:rsidR="00A77B3E" w:rsidRDefault="00000000">
            <w:pPr>
              <w:spacing w:before="100"/>
              <w:jc w:val="center"/>
              <w:rPr>
                <w:color w:val="000000"/>
                <w:sz w:val="20"/>
              </w:rPr>
            </w:pPr>
            <w:r>
              <w:rPr>
                <w:color w:val="000000"/>
                <w:sz w:val="20"/>
              </w:rPr>
              <w:t>Amount (EUR)</w:t>
            </w:r>
          </w:p>
        </w:tc>
      </w:tr>
      <w:tr w:rsidR="00B82D50" w14:paraId="2142065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F9E27A"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722F0C"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83B933"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64AB34"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089CEB" w14:textId="77777777" w:rsidR="00A77B3E" w:rsidRDefault="00000000">
            <w:pPr>
              <w:spacing w:before="100"/>
              <w:rPr>
                <w:color w:val="000000"/>
                <w:sz w:val="20"/>
              </w:rPr>
            </w:pPr>
            <w:r>
              <w:rPr>
                <w:color w:val="000000"/>
                <w:sz w:val="20"/>
              </w:rPr>
              <w:t>03. Gender neutral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78B199" w14:textId="77777777" w:rsidR="00A77B3E" w:rsidRDefault="00000000">
            <w:pPr>
              <w:spacing w:before="100"/>
              <w:jc w:val="right"/>
              <w:rPr>
                <w:color w:val="000000"/>
                <w:sz w:val="20"/>
              </w:rPr>
            </w:pPr>
            <w:r>
              <w:rPr>
                <w:color w:val="000000"/>
                <w:sz w:val="20"/>
              </w:rPr>
              <w:t>24,000,001.00</w:t>
            </w:r>
          </w:p>
        </w:tc>
      </w:tr>
      <w:tr w:rsidR="00B82D50" w14:paraId="61C7081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F9DD37" w14:textId="77777777" w:rsidR="00A77B3E" w:rsidRDefault="00000000">
            <w:pPr>
              <w:spacing w:before="100"/>
              <w:rPr>
                <w:color w:val="000000"/>
                <w:sz w:val="20"/>
              </w:rPr>
            </w:pPr>
            <w:r>
              <w:rPr>
                <w:color w:val="000000"/>
                <w:sz w:val="20"/>
              </w:rPr>
              <w:t>SEM4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A88E3B" w14:textId="77777777" w:rsidR="00A77B3E" w:rsidRDefault="00000000">
            <w:pPr>
              <w:spacing w:before="100"/>
              <w:rPr>
                <w:color w:val="000000"/>
                <w:sz w:val="20"/>
              </w:rPr>
            </w:pPr>
            <w:r>
              <w:rPr>
                <w:color w:val="000000"/>
                <w:sz w:val="20"/>
              </w:rPr>
              <w:t>RSO2.11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651BAB"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E3255E"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1D7478"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09F9F5" w14:textId="77777777" w:rsidR="00A77B3E" w:rsidRDefault="00000000">
            <w:pPr>
              <w:spacing w:before="100"/>
              <w:jc w:val="right"/>
              <w:rPr>
                <w:color w:val="000000"/>
                <w:sz w:val="20"/>
              </w:rPr>
            </w:pPr>
            <w:r>
              <w:rPr>
                <w:color w:val="000000"/>
                <w:sz w:val="20"/>
              </w:rPr>
              <w:t>24,000,001.00</w:t>
            </w:r>
          </w:p>
        </w:tc>
      </w:tr>
    </w:tbl>
    <w:p w14:paraId="2B8E3D43" w14:textId="77777777" w:rsidR="00A77B3E" w:rsidRDefault="00000000">
      <w:pPr>
        <w:spacing w:before="100"/>
        <w:rPr>
          <w:color w:val="000000"/>
          <w:sz w:val="20"/>
        </w:rPr>
      </w:pPr>
      <w:r>
        <w:rPr>
          <w:color w:val="000000"/>
          <w:sz w:val="20"/>
        </w:rPr>
        <w:t>* In principle, 40 % for the ESF+ contributes to gender tracking. 100 % is applicable when Member State chooses to use Article 6 ESF+</w:t>
      </w:r>
    </w:p>
    <w:p w14:paraId="0AD10431" w14:textId="77777777" w:rsidR="00A77B3E" w:rsidRDefault="00000000">
      <w:pPr>
        <w:pStyle w:val="Heading3"/>
        <w:spacing w:before="100" w:after="0"/>
        <w:rPr>
          <w:rFonts w:ascii="Times New Roman" w:hAnsi="Times New Roman" w:cs="Times New Roman"/>
          <w:b w:val="0"/>
          <w:color w:val="000000"/>
          <w:sz w:val="24"/>
        </w:rPr>
      </w:pPr>
      <w:r>
        <w:rPr>
          <w:rFonts w:ascii="Times New Roman" w:hAnsi="Times New Roman" w:cs="Times New Roman"/>
          <w:b w:val="0"/>
          <w:color w:val="000000"/>
          <w:sz w:val="24"/>
        </w:rPr>
        <w:br w:type="page"/>
      </w:r>
      <w:bookmarkStart w:id="93" w:name="_Toc256000250"/>
      <w:r>
        <w:rPr>
          <w:rFonts w:ascii="Times New Roman" w:hAnsi="Times New Roman" w:cs="Times New Roman"/>
          <w:b w:val="0"/>
          <w:color w:val="000000"/>
          <w:sz w:val="24"/>
        </w:rPr>
        <w:lastRenderedPageBreak/>
        <w:t>2.1.1. Priority: SEM5. Strategic Technologies for Europe</w:t>
      </w:r>
      <w:bookmarkEnd w:id="93"/>
    </w:p>
    <w:p w14:paraId="0F9A7EE8" w14:textId="77777777" w:rsidR="00A77B3E" w:rsidRDefault="00A77B3E">
      <w:pPr>
        <w:spacing w:before="100"/>
        <w:rPr>
          <w:color w:val="000000"/>
          <w:sz w:val="0"/>
        </w:rPr>
      </w:pPr>
    </w:p>
    <w:p w14:paraId="3503391D" w14:textId="77777777" w:rsidR="00A77B3E" w:rsidRDefault="00000000">
      <w:pPr>
        <w:pStyle w:val="Heading4"/>
        <w:spacing w:before="100" w:after="0"/>
        <w:rPr>
          <w:b w:val="0"/>
          <w:color w:val="000000"/>
          <w:sz w:val="24"/>
        </w:rPr>
      </w:pPr>
      <w:bookmarkStart w:id="94" w:name="_Toc256000251"/>
      <w:r>
        <w:rPr>
          <w:b w:val="0"/>
          <w:color w:val="000000"/>
          <w:sz w:val="24"/>
        </w:rPr>
        <w:t>2.1.1.1. Specific objective: RSO1.6. Supporting investments contributing to the objectives of the Strategic Technologies for Europe Platform (STEP) referred to in Article 2 of Regulation (EU) 2024/795 of the European Parliament and of the Council (ERDF)</w:t>
      </w:r>
      <w:bookmarkEnd w:id="94"/>
    </w:p>
    <w:p w14:paraId="57B2D52A" w14:textId="77777777" w:rsidR="00A77B3E" w:rsidRDefault="00A77B3E">
      <w:pPr>
        <w:spacing w:before="100"/>
        <w:rPr>
          <w:color w:val="000000"/>
          <w:sz w:val="0"/>
        </w:rPr>
      </w:pPr>
    </w:p>
    <w:p w14:paraId="02A89EFA" w14:textId="77777777" w:rsidR="00A77B3E" w:rsidRDefault="00000000">
      <w:pPr>
        <w:pStyle w:val="Heading4"/>
        <w:spacing w:before="100" w:after="0"/>
        <w:rPr>
          <w:b w:val="0"/>
          <w:color w:val="000000"/>
          <w:sz w:val="24"/>
        </w:rPr>
      </w:pPr>
      <w:bookmarkStart w:id="95" w:name="_Toc256000252"/>
      <w:r>
        <w:rPr>
          <w:b w:val="0"/>
          <w:color w:val="000000"/>
          <w:sz w:val="24"/>
        </w:rPr>
        <w:t>2.1.1.1.1. Interventions of the Funds</w:t>
      </w:r>
      <w:bookmarkEnd w:id="95"/>
    </w:p>
    <w:p w14:paraId="19E793D2" w14:textId="77777777" w:rsidR="00A77B3E" w:rsidRDefault="00A77B3E">
      <w:pPr>
        <w:spacing w:before="100"/>
        <w:rPr>
          <w:color w:val="000000"/>
          <w:sz w:val="0"/>
        </w:rPr>
      </w:pPr>
    </w:p>
    <w:p w14:paraId="641E9F34" w14:textId="77777777" w:rsidR="00A77B3E" w:rsidRDefault="00000000">
      <w:pPr>
        <w:spacing w:before="100"/>
        <w:rPr>
          <w:color w:val="000000"/>
          <w:sz w:val="0"/>
        </w:rPr>
      </w:pPr>
      <w:r>
        <w:rPr>
          <w:color w:val="000000"/>
        </w:rPr>
        <w:t>Reference: points (d)(</w:t>
      </w:r>
      <w:proofErr w:type="spellStart"/>
      <w:r>
        <w:rPr>
          <w:color w:val="000000"/>
        </w:rPr>
        <w:t>i</w:t>
      </w:r>
      <w:proofErr w:type="spellEnd"/>
      <w:r>
        <w:rPr>
          <w:color w:val="000000"/>
        </w:rPr>
        <w:t>), (iii), (iv), (v), (vi) and (vii) of Article 22(3) CPR</w:t>
      </w:r>
    </w:p>
    <w:p w14:paraId="05CE7C6A" w14:textId="77777777" w:rsidR="00A77B3E" w:rsidRDefault="00000000">
      <w:pPr>
        <w:pStyle w:val="Heading5"/>
        <w:spacing w:before="100" w:after="0"/>
        <w:rPr>
          <w:b w:val="0"/>
          <w:i w:val="0"/>
          <w:color w:val="000000"/>
          <w:sz w:val="24"/>
        </w:rPr>
      </w:pPr>
      <w:bookmarkStart w:id="96" w:name="_Toc256000253"/>
      <w:r>
        <w:rPr>
          <w:b w:val="0"/>
          <w:i w:val="0"/>
          <w:color w:val="000000"/>
          <w:sz w:val="24"/>
        </w:rPr>
        <w:t>The related types of actions – point (d)(</w:t>
      </w:r>
      <w:proofErr w:type="spellStart"/>
      <w:r>
        <w:rPr>
          <w:b w:val="0"/>
          <w:i w:val="0"/>
          <w:color w:val="000000"/>
          <w:sz w:val="24"/>
        </w:rPr>
        <w:t>i</w:t>
      </w:r>
      <w:proofErr w:type="spellEnd"/>
      <w:r>
        <w:rPr>
          <w:b w:val="0"/>
          <w:i w:val="0"/>
          <w:color w:val="000000"/>
          <w:sz w:val="24"/>
        </w:rPr>
        <w:t>) of Article 22(3) CPR and Article 6 ESF+ Regulation:</w:t>
      </w:r>
      <w:bookmarkEnd w:id="96"/>
    </w:p>
    <w:p w14:paraId="5D879EE9"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6A1D72E5"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E83786" w14:textId="77777777" w:rsidR="00A77B3E" w:rsidRDefault="00A77B3E">
            <w:pPr>
              <w:spacing w:before="100"/>
              <w:rPr>
                <w:color w:val="000000"/>
                <w:sz w:val="0"/>
              </w:rPr>
            </w:pPr>
          </w:p>
          <w:p w14:paraId="05A6D238" w14:textId="77777777" w:rsidR="00A77B3E" w:rsidRDefault="00000000">
            <w:pPr>
              <w:spacing w:before="100"/>
              <w:rPr>
                <w:color w:val="000000"/>
              </w:rPr>
            </w:pPr>
            <w:r>
              <w:rPr>
                <w:color w:val="000000"/>
              </w:rPr>
              <w:t>The following types of action will be taken under this priority to contribute to the objectives of the Strategic Technologies for Europe Platform (STEP):</w:t>
            </w:r>
          </w:p>
          <w:p w14:paraId="6BDB6D35" w14:textId="77777777" w:rsidR="00A77B3E" w:rsidRDefault="00A77B3E">
            <w:pPr>
              <w:spacing w:before="100"/>
              <w:rPr>
                <w:color w:val="000000"/>
              </w:rPr>
            </w:pPr>
          </w:p>
          <w:p w14:paraId="5BF9734D" w14:textId="77777777" w:rsidR="00A77B3E" w:rsidRDefault="00000000">
            <w:pPr>
              <w:spacing w:before="100"/>
              <w:rPr>
                <w:color w:val="000000"/>
              </w:rPr>
            </w:pPr>
            <w:r>
              <w:rPr>
                <w:rStyle w:val="Strong"/>
                <w:b w:val="0"/>
                <w:color w:val="000000"/>
              </w:rPr>
              <w:t xml:space="preserve">Enhancing STEP related deep-tech innovation and entrepreneurship </w:t>
            </w:r>
          </w:p>
          <w:p w14:paraId="0BC9444A" w14:textId="77777777" w:rsidR="00A77B3E" w:rsidRDefault="00A77B3E">
            <w:pPr>
              <w:spacing w:before="100"/>
              <w:rPr>
                <w:color w:val="000000"/>
              </w:rPr>
            </w:pPr>
          </w:p>
          <w:p w14:paraId="434D9343" w14:textId="77777777" w:rsidR="00A77B3E" w:rsidRDefault="00000000">
            <w:pPr>
              <w:spacing w:before="100"/>
              <w:rPr>
                <w:color w:val="000000"/>
              </w:rPr>
            </w:pPr>
            <w:r>
              <w:rPr>
                <w:rStyle w:val="Strong"/>
                <w:b w:val="0"/>
                <w:color w:val="000000"/>
              </w:rPr>
              <w:t>Action RSO1.6.1</w:t>
            </w:r>
            <w:r>
              <w:rPr>
                <w:color w:val="000000"/>
              </w:rPr>
              <w:t xml:space="preserve">: Develop new STEP-aligned immersive, needs-led innovation training programmes, relevant for the development/manufacturing of critical STEP technologies, closely aligned to S3 in the regions, and capable of attracting high </w:t>
            </w:r>
            <w:proofErr w:type="spellStart"/>
            <w:r>
              <w:rPr>
                <w:color w:val="000000"/>
              </w:rPr>
              <w:t>calibre</w:t>
            </w:r>
            <w:proofErr w:type="spellEnd"/>
            <w:r>
              <w:rPr>
                <w:color w:val="000000"/>
              </w:rPr>
              <w:t xml:space="preserve"> individuals and inter-disciplinary teams. Programme participants, be they mid-career professionals or PhD students, through their immersion and observation of real needs in their immersive environment and the use of a design methodology, will be supported to generate product and process ideas, new IP and in some cases, the creation of high-potential-start-ups (HPSUs) from research, aimed at developing and producing technologies capable of both providing the internal market with an innovative, emerging, and cutting-edge element with significant economic potential and contributing to reducing the Union's dependencies in strategic sectors, enhancing its competitiveness and strengthening its resilience and productivity. These programmes will build on existing international and national best practice connecting on multiple levels with the industry sector clusters in the regions.</w:t>
            </w:r>
          </w:p>
          <w:p w14:paraId="12175D04" w14:textId="77777777" w:rsidR="00A77B3E" w:rsidRDefault="00A77B3E">
            <w:pPr>
              <w:spacing w:before="100"/>
              <w:rPr>
                <w:color w:val="000000"/>
              </w:rPr>
            </w:pPr>
          </w:p>
          <w:p w14:paraId="2558169B" w14:textId="77777777" w:rsidR="00A77B3E" w:rsidRDefault="00000000">
            <w:pPr>
              <w:spacing w:before="100"/>
              <w:rPr>
                <w:color w:val="000000"/>
              </w:rPr>
            </w:pPr>
            <w:r>
              <w:rPr>
                <w:rStyle w:val="Strong"/>
                <w:b w:val="0"/>
                <w:color w:val="000000"/>
              </w:rPr>
              <w:t>Action RSO1.6.2</w:t>
            </w:r>
            <w:r>
              <w:rPr>
                <w:color w:val="000000"/>
              </w:rPr>
              <w:t>: Direct financial support to SMEs that have achieved the Seal of Excellence for STEP-aligned projects, or that have been awarded the STEP Seal, for projects that are consistent with S3 in the regions. RD&amp;I activities will be supported in the various STEP areas aimed at developing and producing technologies capable of both providing the internal market with an innovative, emerging, and cutting-edge element with significant economic potential and contributing to reducing the Union's dependencies in strategic sectors, enhancing its competitiveness and strengthening its resilience and productivity. Industrial research, experimental development, and innovation projects that have achieved the Seal of Excellence for STEP-aligned projects, or that have been awarded the STEP Seal will be supported to meet the needs of SMEs to bring immediately viable technologies, products, and services to the market. It is intended that SMEs supported by grants under this action will be able to leverage further investment as a result of this RD&amp;I investment.</w:t>
            </w:r>
          </w:p>
          <w:p w14:paraId="3F67FBF8" w14:textId="77777777" w:rsidR="00A77B3E" w:rsidRDefault="00A77B3E">
            <w:pPr>
              <w:spacing w:before="100"/>
              <w:rPr>
                <w:color w:val="000000"/>
              </w:rPr>
            </w:pPr>
          </w:p>
          <w:p w14:paraId="133A33C3" w14:textId="77777777" w:rsidR="00A77B3E" w:rsidRDefault="00000000">
            <w:pPr>
              <w:spacing w:before="100"/>
              <w:rPr>
                <w:color w:val="000000"/>
              </w:rPr>
            </w:pPr>
            <w:r>
              <w:rPr>
                <w:color w:val="000000"/>
              </w:rPr>
              <w:t xml:space="preserve">Projects supported under these two actions will need to comply with the requirements set out in the Commission's Guidance Note concerning certain provisions of Regulation (EU) 2024/795 establishing the Strategic Technologies for Europe Platform (STEP) [C/2024/3209]. Article 2(2) of the STEP </w:t>
            </w:r>
            <w:r>
              <w:rPr>
                <w:color w:val="000000"/>
              </w:rPr>
              <w:lastRenderedPageBreak/>
              <w:t>Regulation specifies that the technologies referred to in section 2 of the Guidance Note are to be deemed critical where they meet either of the following conditions:</w:t>
            </w:r>
          </w:p>
          <w:p w14:paraId="3AE06B13" w14:textId="77777777" w:rsidR="00A77B3E" w:rsidRDefault="00000000">
            <w:pPr>
              <w:numPr>
                <w:ilvl w:val="0"/>
                <w:numId w:val="7"/>
              </w:numPr>
              <w:spacing w:before="100"/>
              <w:rPr>
                <w:color w:val="000000"/>
              </w:rPr>
            </w:pPr>
            <w:r>
              <w:rPr>
                <w:color w:val="000000"/>
              </w:rPr>
              <w:t>they bring to the internal market an innovative, emerging, and cutting-edge element with significant economic potential;</w:t>
            </w:r>
          </w:p>
          <w:p w14:paraId="4E788A53" w14:textId="77777777" w:rsidR="00A77B3E" w:rsidRDefault="00000000">
            <w:pPr>
              <w:numPr>
                <w:ilvl w:val="0"/>
                <w:numId w:val="7"/>
              </w:numPr>
              <w:spacing w:before="100"/>
              <w:rPr>
                <w:color w:val="000000"/>
              </w:rPr>
            </w:pPr>
            <w:r>
              <w:rPr>
                <w:color w:val="000000"/>
              </w:rPr>
              <w:t>they contribute to reducing or preventing the strategic dependencies of the Union.</w:t>
            </w:r>
          </w:p>
          <w:p w14:paraId="015F6481" w14:textId="77777777" w:rsidR="00A77B3E" w:rsidRDefault="00000000">
            <w:pPr>
              <w:spacing w:before="100"/>
              <w:rPr>
                <w:color w:val="000000"/>
              </w:rPr>
            </w:pPr>
            <w:r>
              <w:rPr>
                <w:color w:val="000000"/>
              </w:rPr>
              <w:t>These two conditions are not cumulative in the assessment of criticality.</w:t>
            </w:r>
          </w:p>
          <w:p w14:paraId="439F4DE1" w14:textId="77777777" w:rsidR="00A77B3E" w:rsidRDefault="00A77B3E">
            <w:pPr>
              <w:spacing w:before="100"/>
              <w:rPr>
                <w:color w:val="000000"/>
              </w:rPr>
            </w:pPr>
          </w:p>
          <w:p w14:paraId="517B803D" w14:textId="77777777" w:rsidR="00A77B3E" w:rsidRDefault="00000000">
            <w:pPr>
              <w:spacing w:before="100"/>
              <w:rPr>
                <w:color w:val="000000"/>
              </w:rPr>
            </w:pPr>
            <w:r>
              <w:rPr>
                <w:color w:val="000000"/>
              </w:rPr>
              <w:t>===================</w:t>
            </w:r>
          </w:p>
          <w:p w14:paraId="09F37EC1" w14:textId="77777777" w:rsidR="00A77B3E" w:rsidRDefault="00A77B3E">
            <w:pPr>
              <w:spacing w:before="100"/>
              <w:rPr>
                <w:color w:val="000000"/>
              </w:rPr>
            </w:pPr>
          </w:p>
          <w:p w14:paraId="5D525661" w14:textId="77777777" w:rsidR="00A77B3E" w:rsidRDefault="00000000">
            <w:pPr>
              <w:spacing w:before="100"/>
              <w:rPr>
                <w:color w:val="000000"/>
              </w:rPr>
            </w:pPr>
            <w:r>
              <w:rPr>
                <w:rStyle w:val="Strong"/>
                <w:b w:val="0"/>
                <w:color w:val="000000"/>
              </w:rPr>
              <w:t>Strategic Procurement and Environmentally Sustainable Solutions</w:t>
            </w:r>
          </w:p>
          <w:p w14:paraId="3AC89DC8" w14:textId="77777777" w:rsidR="00A77B3E" w:rsidRDefault="00000000">
            <w:pPr>
              <w:spacing w:before="100"/>
              <w:rPr>
                <w:color w:val="000000"/>
              </w:rPr>
            </w:pPr>
            <w:r>
              <w:rPr>
                <w:color w:val="000000"/>
              </w:rPr>
              <w:t xml:space="preserve">The Managing Authority will promote the strategic use of public procurement to support actions under this Specific Objective, including </w:t>
            </w:r>
            <w:proofErr w:type="spellStart"/>
            <w:r>
              <w:rPr>
                <w:color w:val="000000"/>
              </w:rPr>
              <w:t>professionalisation</w:t>
            </w:r>
            <w:proofErr w:type="spellEnd"/>
            <w:r>
              <w:rPr>
                <w:color w:val="000000"/>
              </w:rPr>
              <w:t xml:space="preserve"> efforts to address capacity gaps. Beneficiaries will be encouraged to use more quality-related and lifecycle cost criteria. When feasible, environmental (e.g., green public procurement criteria) and social considerations as well as innovation incentives will be incorporated into public procurement procedures.</w:t>
            </w:r>
          </w:p>
          <w:p w14:paraId="3D59D3A1" w14:textId="77777777" w:rsidR="00A77B3E" w:rsidRDefault="00A77B3E">
            <w:pPr>
              <w:spacing w:before="100"/>
              <w:rPr>
                <w:color w:val="000000"/>
              </w:rPr>
            </w:pPr>
          </w:p>
          <w:p w14:paraId="3A189663" w14:textId="77777777" w:rsidR="00A77B3E" w:rsidRDefault="00000000">
            <w:pPr>
              <w:spacing w:before="100"/>
              <w:rPr>
                <w:color w:val="000000"/>
              </w:rPr>
            </w:pPr>
            <w:r>
              <w:rPr>
                <w:color w:val="000000"/>
              </w:rPr>
              <w:t>The selection of projects will be made based on criteria that take into account the most environmentally sustainable solutions. These criteria shall be adapted to the nature of the intervention and applied as widely as possible.</w:t>
            </w:r>
          </w:p>
          <w:p w14:paraId="5C4E3811" w14:textId="77777777" w:rsidR="00A77B3E" w:rsidRDefault="00A77B3E">
            <w:pPr>
              <w:spacing w:before="100"/>
              <w:rPr>
                <w:color w:val="000000"/>
              </w:rPr>
            </w:pPr>
          </w:p>
          <w:p w14:paraId="3FC9D7CA" w14:textId="77777777" w:rsidR="00A77B3E" w:rsidRDefault="00000000">
            <w:pPr>
              <w:spacing w:before="100"/>
              <w:rPr>
                <w:color w:val="000000"/>
              </w:rPr>
            </w:pPr>
            <w:r>
              <w:rPr>
                <w:rStyle w:val="Strong"/>
                <w:b w:val="0"/>
                <w:color w:val="000000"/>
              </w:rPr>
              <w:t>Do No Significant Harm (DNSH) Analysis</w:t>
            </w:r>
          </w:p>
          <w:p w14:paraId="3D6844A3" w14:textId="77777777" w:rsidR="00A77B3E" w:rsidRDefault="00000000">
            <w:pPr>
              <w:spacing w:before="100"/>
              <w:rPr>
                <w:color w:val="000000"/>
              </w:rPr>
            </w:pPr>
            <w:r>
              <w:rPr>
                <w:color w:val="000000"/>
              </w:rPr>
              <w:t>A DNSH analysis has been carried out at the level of the types of actions defined above and it has been determined that these actions would do no significant harm to environmental objectives within the meaning of Article 17 of Regulation (EU) 2020/852 of the European Parliament and of the Council.</w:t>
            </w:r>
          </w:p>
          <w:p w14:paraId="641DFC67" w14:textId="77777777" w:rsidR="00A77B3E" w:rsidRDefault="00A77B3E">
            <w:pPr>
              <w:spacing w:before="100"/>
              <w:rPr>
                <w:color w:val="000000"/>
                <w:sz w:val="6"/>
              </w:rPr>
            </w:pPr>
          </w:p>
          <w:p w14:paraId="6D68D76D" w14:textId="77777777" w:rsidR="00A77B3E" w:rsidRDefault="00A77B3E">
            <w:pPr>
              <w:spacing w:before="100"/>
              <w:rPr>
                <w:color w:val="000000"/>
                <w:sz w:val="6"/>
              </w:rPr>
            </w:pPr>
          </w:p>
        </w:tc>
      </w:tr>
    </w:tbl>
    <w:p w14:paraId="06CDB69A" w14:textId="77777777" w:rsidR="00A77B3E" w:rsidRDefault="00A77B3E">
      <w:pPr>
        <w:spacing w:before="100"/>
        <w:rPr>
          <w:color w:val="000000"/>
        </w:rPr>
      </w:pPr>
    </w:p>
    <w:p w14:paraId="1CE2EBA4" w14:textId="77777777" w:rsidR="00A77B3E" w:rsidRDefault="00000000">
      <w:pPr>
        <w:pStyle w:val="Heading5"/>
        <w:spacing w:before="100" w:after="0"/>
        <w:rPr>
          <w:b w:val="0"/>
          <w:i w:val="0"/>
          <w:color w:val="000000"/>
          <w:sz w:val="24"/>
        </w:rPr>
      </w:pPr>
      <w:bookmarkStart w:id="97" w:name="_Toc256000254"/>
      <w:r>
        <w:rPr>
          <w:b w:val="0"/>
          <w:i w:val="0"/>
          <w:color w:val="000000"/>
          <w:sz w:val="24"/>
        </w:rPr>
        <w:t>The main target groups - point (d)(iii) of Article 22(3) CPR:</w:t>
      </w:r>
      <w:bookmarkEnd w:id="97"/>
    </w:p>
    <w:p w14:paraId="4876C72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38F7FFD4"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C3BF99" w14:textId="77777777" w:rsidR="00A77B3E" w:rsidRDefault="00A77B3E">
            <w:pPr>
              <w:spacing w:before="100"/>
              <w:rPr>
                <w:color w:val="000000"/>
                <w:sz w:val="0"/>
              </w:rPr>
            </w:pPr>
          </w:p>
          <w:p w14:paraId="639A178A" w14:textId="77777777" w:rsidR="00A77B3E" w:rsidRDefault="00000000">
            <w:pPr>
              <w:spacing w:before="100"/>
              <w:rPr>
                <w:color w:val="000000"/>
              </w:rPr>
            </w:pPr>
            <w:r>
              <w:rPr>
                <w:color w:val="000000"/>
              </w:rPr>
              <w:t>Actions under RSO1.6 will address two main target groups:</w:t>
            </w:r>
          </w:p>
          <w:p w14:paraId="2985E37F" w14:textId="77777777" w:rsidR="00A77B3E" w:rsidRDefault="00A77B3E">
            <w:pPr>
              <w:spacing w:before="100"/>
              <w:rPr>
                <w:color w:val="000000"/>
              </w:rPr>
            </w:pPr>
          </w:p>
          <w:p w14:paraId="10755B3A" w14:textId="77777777" w:rsidR="00A77B3E" w:rsidRDefault="00000000">
            <w:pPr>
              <w:spacing w:before="100"/>
              <w:rPr>
                <w:color w:val="000000"/>
              </w:rPr>
            </w:pPr>
            <w:r>
              <w:rPr>
                <w:rStyle w:val="Strong"/>
                <w:b w:val="0"/>
                <w:color w:val="000000"/>
              </w:rPr>
              <w:t>Action RSO1.6.1</w:t>
            </w:r>
            <w:r>
              <w:rPr>
                <w:color w:val="000000"/>
              </w:rPr>
              <w:t xml:space="preserve"> will target universities, technological universities, institutes of technology and other Research Performing </w:t>
            </w:r>
            <w:proofErr w:type="spellStart"/>
            <w:r>
              <w:rPr>
                <w:color w:val="000000"/>
              </w:rPr>
              <w:t>Organisations</w:t>
            </w:r>
            <w:proofErr w:type="spellEnd"/>
            <w:r>
              <w:rPr>
                <w:color w:val="000000"/>
              </w:rPr>
              <w:t xml:space="preserve"> (RPOs) in the </w:t>
            </w:r>
            <w:proofErr w:type="spellStart"/>
            <w:r>
              <w:rPr>
                <w:color w:val="000000"/>
              </w:rPr>
              <w:t>programme</w:t>
            </w:r>
            <w:proofErr w:type="spellEnd"/>
            <w:r>
              <w:rPr>
                <w:color w:val="000000"/>
              </w:rPr>
              <w:t xml:space="preserve"> area, capable of delivering STEP-aligned needs-led innovation and entrepreneurial programmes. </w:t>
            </w:r>
          </w:p>
          <w:p w14:paraId="01397C9E" w14:textId="77777777" w:rsidR="00A77B3E" w:rsidRDefault="00A77B3E">
            <w:pPr>
              <w:spacing w:before="100"/>
              <w:rPr>
                <w:color w:val="000000"/>
              </w:rPr>
            </w:pPr>
          </w:p>
          <w:p w14:paraId="156E63E3" w14:textId="77777777" w:rsidR="00A77B3E" w:rsidRDefault="00000000">
            <w:pPr>
              <w:spacing w:before="100"/>
              <w:rPr>
                <w:color w:val="000000"/>
              </w:rPr>
            </w:pPr>
            <w:r>
              <w:rPr>
                <w:rStyle w:val="Strong"/>
                <w:b w:val="0"/>
                <w:color w:val="000000"/>
              </w:rPr>
              <w:t>Action RSO1.6.2</w:t>
            </w:r>
            <w:r>
              <w:rPr>
                <w:color w:val="000000"/>
              </w:rPr>
              <w:t xml:space="preserve"> will target SMEs in the </w:t>
            </w:r>
            <w:proofErr w:type="spellStart"/>
            <w:r>
              <w:rPr>
                <w:color w:val="000000"/>
              </w:rPr>
              <w:t>programme</w:t>
            </w:r>
            <w:proofErr w:type="spellEnd"/>
            <w:r>
              <w:rPr>
                <w:color w:val="000000"/>
              </w:rPr>
              <w:t xml:space="preserve"> area, specifically those that have received a Seal of Excellence and/or a STEP Seal. </w:t>
            </w:r>
          </w:p>
          <w:p w14:paraId="46FAAE91" w14:textId="77777777" w:rsidR="00A77B3E" w:rsidRDefault="00A77B3E">
            <w:pPr>
              <w:spacing w:before="100"/>
              <w:rPr>
                <w:color w:val="000000"/>
                <w:sz w:val="6"/>
              </w:rPr>
            </w:pPr>
          </w:p>
          <w:p w14:paraId="1A07D160" w14:textId="77777777" w:rsidR="00A77B3E" w:rsidRDefault="00A77B3E">
            <w:pPr>
              <w:spacing w:before="100"/>
              <w:rPr>
                <w:color w:val="000000"/>
                <w:sz w:val="6"/>
              </w:rPr>
            </w:pPr>
          </w:p>
        </w:tc>
      </w:tr>
    </w:tbl>
    <w:p w14:paraId="1D1E4B73" w14:textId="77777777" w:rsidR="00A77B3E" w:rsidRDefault="00A77B3E">
      <w:pPr>
        <w:spacing w:before="100"/>
        <w:rPr>
          <w:color w:val="000000"/>
        </w:rPr>
      </w:pPr>
    </w:p>
    <w:p w14:paraId="2E412FAE" w14:textId="77777777" w:rsidR="00A77B3E" w:rsidRDefault="00000000">
      <w:pPr>
        <w:pStyle w:val="Heading5"/>
        <w:spacing w:before="100" w:after="0"/>
        <w:rPr>
          <w:b w:val="0"/>
          <w:i w:val="0"/>
          <w:color w:val="000000"/>
          <w:sz w:val="24"/>
        </w:rPr>
      </w:pPr>
      <w:bookmarkStart w:id="98" w:name="_Toc256000255"/>
      <w:r>
        <w:rPr>
          <w:b w:val="0"/>
          <w:i w:val="0"/>
          <w:color w:val="000000"/>
          <w:sz w:val="24"/>
        </w:rPr>
        <w:t>Actions safeguarding equality, inclusion and non-discrimination – point (d)(iv) of Article 22(3) CPR and Article 6 ESF+ Regulation</w:t>
      </w:r>
      <w:bookmarkEnd w:id="98"/>
    </w:p>
    <w:p w14:paraId="15CEE2D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1C149F8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E0B6D5" w14:textId="77777777" w:rsidR="00A77B3E" w:rsidRDefault="00A77B3E">
            <w:pPr>
              <w:spacing w:before="100"/>
              <w:rPr>
                <w:color w:val="000000"/>
                <w:sz w:val="0"/>
              </w:rPr>
            </w:pPr>
          </w:p>
          <w:p w14:paraId="13D2DEBA" w14:textId="77777777" w:rsidR="00A77B3E" w:rsidRDefault="00000000">
            <w:pPr>
              <w:spacing w:before="100"/>
              <w:rPr>
                <w:color w:val="000000"/>
              </w:rPr>
            </w:pPr>
            <w:r>
              <w:rPr>
                <w:color w:val="000000"/>
              </w:rPr>
              <w:t>Please refer to details already provided under 'Actions safeguarding equality, inclusion and non-discrimination – point (d)(iv) of Article 22(3) CPR and Article 6 ESF+ Regulation' under RSO1.1.</w:t>
            </w:r>
          </w:p>
          <w:p w14:paraId="1BB734C7" w14:textId="77777777" w:rsidR="00A77B3E" w:rsidRDefault="00A77B3E">
            <w:pPr>
              <w:spacing w:before="100"/>
              <w:rPr>
                <w:color w:val="000000"/>
                <w:sz w:val="6"/>
              </w:rPr>
            </w:pPr>
          </w:p>
          <w:p w14:paraId="5E707A67" w14:textId="77777777" w:rsidR="00A77B3E" w:rsidRDefault="00A77B3E">
            <w:pPr>
              <w:spacing w:before="100"/>
              <w:rPr>
                <w:color w:val="000000"/>
                <w:sz w:val="6"/>
              </w:rPr>
            </w:pPr>
          </w:p>
        </w:tc>
      </w:tr>
    </w:tbl>
    <w:p w14:paraId="5E38DD46" w14:textId="77777777" w:rsidR="00A77B3E" w:rsidRDefault="00A77B3E">
      <w:pPr>
        <w:spacing w:before="100"/>
        <w:rPr>
          <w:color w:val="000000"/>
        </w:rPr>
      </w:pPr>
    </w:p>
    <w:p w14:paraId="468DC176" w14:textId="77777777" w:rsidR="00A77B3E" w:rsidRDefault="00000000">
      <w:pPr>
        <w:pStyle w:val="Heading5"/>
        <w:spacing w:before="100" w:after="0"/>
        <w:rPr>
          <w:b w:val="0"/>
          <w:i w:val="0"/>
          <w:color w:val="000000"/>
          <w:sz w:val="24"/>
        </w:rPr>
      </w:pPr>
      <w:bookmarkStart w:id="99" w:name="_Toc256000256"/>
      <w:r>
        <w:rPr>
          <w:b w:val="0"/>
          <w:i w:val="0"/>
          <w:color w:val="000000"/>
          <w:sz w:val="24"/>
        </w:rPr>
        <w:t>Indication of the specific territories targeted, including the planned use of territorial tools – point (d)(v) of Article 22(3) CPR</w:t>
      </w:r>
      <w:bookmarkEnd w:id="99"/>
    </w:p>
    <w:p w14:paraId="4743AF7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5EA14368"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AE919E" w14:textId="77777777" w:rsidR="00A77B3E" w:rsidRDefault="00A77B3E">
            <w:pPr>
              <w:spacing w:before="100"/>
              <w:rPr>
                <w:color w:val="000000"/>
                <w:sz w:val="0"/>
              </w:rPr>
            </w:pPr>
          </w:p>
          <w:p w14:paraId="66150EC5" w14:textId="77777777" w:rsidR="00A77B3E" w:rsidRDefault="00000000">
            <w:pPr>
              <w:spacing w:before="100"/>
              <w:rPr>
                <w:color w:val="000000"/>
              </w:rPr>
            </w:pPr>
            <w:r>
              <w:rPr>
                <w:color w:val="000000"/>
              </w:rPr>
              <w:t xml:space="preserve">Supported actions will take place throughout the two NUT2 regions in the </w:t>
            </w:r>
            <w:proofErr w:type="spellStart"/>
            <w:r>
              <w:rPr>
                <w:color w:val="000000"/>
              </w:rPr>
              <w:t>programme</w:t>
            </w:r>
            <w:proofErr w:type="spellEnd"/>
            <w:r>
              <w:rPr>
                <w:color w:val="000000"/>
              </w:rPr>
              <w:t xml:space="preserve"> area. No territorial tools will be used under this specific objective.</w:t>
            </w:r>
          </w:p>
          <w:p w14:paraId="50E49A7F" w14:textId="77777777" w:rsidR="00A77B3E" w:rsidRDefault="00A77B3E">
            <w:pPr>
              <w:spacing w:before="100"/>
              <w:rPr>
                <w:color w:val="000000"/>
                <w:sz w:val="6"/>
              </w:rPr>
            </w:pPr>
          </w:p>
          <w:p w14:paraId="6D07C86F" w14:textId="77777777" w:rsidR="00A77B3E" w:rsidRDefault="00A77B3E">
            <w:pPr>
              <w:spacing w:before="100"/>
              <w:rPr>
                <w:color w:val="000000"/>
                <w:sz w:val="6"/>
              </w:rPr>
            </w:pPr>
          </w:p>
        </w:tc>
      </w:tr>
    </w:tbl>
    <w:p w14:paraId="6BA3DB00" w14:textId="77777777" w:rsidR="00A77B3E" w:rsidRDefault="00A77B3E">
      <w:pPr>
        <w:spacing w:before="100"/>
        <w:rPr>
          <w:color w:val="000000"/>
        </w:rPr>
      </w:pPr>
    </w:p>
    <w:p w14:paraId="08157043" w14:textId="77777777" w:rsidR="00A77B3E" w:rsidRDefault="00000000">
      <w:pPr>
        <w:pStyle w:val="Heading5"/>
        <w:spacing w:before="100" w:after="0"/>
        <w:rPr>
          <w:b w:val="0"/>
          <w:i w:val="0"/>
          <w:color w:val="000000"/>
          <w:sz w:val="24"/>
        </w:rPr>
      </w:pPr>
      <w:bookmarkStart w:id="100" w:name="_Toc256000257"/>
      <w:r>
        <w:rPr>
          <w:b w:val="0"/>
          <w:i w:val="0"/>
          <w:color w:val="000000"/>
          <w:sz w:val="24"/>
        </w:rPr>
        <w:t>The interregional, cross-border and transnational actions – point (d)(vi) of Article 22(3) CPR</w:t>
      </w:r>
      <w:bookmarkEnd w:id="100"/>
    </w:p>
    <w:p w14:paraId="3980652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11C8133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B44B9A" w14:textId="77777777" w:rsidR="00A77B3E" w:rsidRDefault="00A77B3E">
            <w:pPr>
              <w:spacing w:before="100"/>
              <w:rPr>
                <w:color w:val="000000"/>
                <w:sz w:val="0"/>
              </w:rPr>
            </w:pPr>
          </w:p>
          <w:p w14:paraId="58C517A7" w14:textId="77777777" w:rsidR="00A77B3E" w:rsidRDefault="00000000">
            <w:pPr>
              <w:spacing w:before="100"/>
              <w:rPr>
                <w:color w:val="000000"/>
              </w:rPr>
            </w:pPr>
            <w:r>
              <w:rPr>
                <w:rStyle w:val="Strong"/>
                <w:b w:val="0"/>
                <w:color w:val="000000"/>
              </w:rPr>
              <w:t>Action RSO1.6.1</w:t>
            </w:r>
            <w:r>
              <w:rPr>
                <w:color w:val="000000"/>
              </w:rPr>
              <w:t xml:space="preserve"> will build entrepreneurial and innovation capacity within the </w:t>
            </w:r>
            <w:proofErr w:type="spellStart"/>
            <w:r>
              <w:rPr>
                <w:color w:val="000000"/>
              </w:rPr>
              <w:t>programme</w:t>
            </w:r>
            <w:proofErr w:type="spellEnd"/>
            <w:r>
              <w:rPr>
                <w:color w:val="000000"/>
              </w:rPr>
              <w:t xml:space="preserve"> area, helping researchers and entrepreneurs to identify new funding sources and to prepare professional and robust applications for competitive international RD&amp;I funds.</w:t>
            </w:r>
          </w:p>
          <w:p w14:paraId="1C29512A" w14:textId="77777777" w:rsidR="00A77B3E" w:rsidRDefault="00A77B3E">
            <w:pPr>
              <w:spacing w:before="100"/>
              <w:rPr>
                <w:color w:val="000000"/>
              </w:rPr>
            </w:pPr>
          </w:p>
          <w:p w14:paraId="781B7685" w14:textId="77777777" w:rsidR="00A77B3E" w:rsidRDefault="00000000">
            <w:pPr>
              <w:spacing w:before="100"/>
              <w:rPr>
                <w:color w:val="000000"/>
              </w:rPr>
            </w:pPr>
            <w:r>
              <w:rPr>
                <w:rStyle w:val="Strong"/>
                <w:b w:val="0"/>
                <w:color w:val="000000"/>
              </w:rPr>
              <w:t xml:space="preserve">Action RSO1.6.2 </w:t>
            </w:r>
            <w:r>
              <w:rPr>
                <w:color w:val="000000"/>
              </w:rPr>
              <w:t xml:space="preserve">will build RD&amp;I capacity within SMEs in the </w:t>
            </w:r>
            <w:proofErr w:type="spellStart"/>
            <w:r>
              <w:rPr>
                <w:color w:val="000000"/>
              </w:rPr>
              <w:t>programme</w:t>
            </w:r>
            <w:proofErr w:type="spellEnd"/>
            <w:r>
              <w:rPr>
                <w:color w:val="000000"/>
              </w:rPr>
              <w:t xml:space="preserve"> area, and will ensure that they are investing in product and process technologies that align with STEP, S3 and with EU strategic priorities. This will open up further opportunities for them to work with partners in other regions, other Member States and other global markets.</w:t>
            </w:r>
          </w:p>
          <w:p w14:paraId="509ECA58" w14:textId="77777777" w:rsidR="00A77B3E" w:rsidRDefault="00A77B3E">
            <w:pPr>
              <w:spacing w:before="100"/>
              <w:rPr>
                <w:color w:val="000000"/>
                <w:sz w:val="6"/>
              </w:rPr>
            </w:pPr>
          </w:p>
          <w:p w14:paraId="76C57FE3" w14:textId="77777777" w:rsidR="00A77B3E" w:rsidRDefault="00A77B3E">
            <w:pPr>
              <w:spacing w:before="100"/>
              <w:rPr>
                <w:color w:val="000000"/>
                <w:sz w:val="6"/>
              </w:rPr>
            </w:pPr>
          </w:p>
        </w:tc>
      </w:tr>
    </w:tbl>
    <w:p w14:paraId="4395E040" w14:textId="77777777" w:rsidR="00A77B3E" w:rsidRDefault="00A77B3E">
      <w:pPr>
        <w:spacing w:before="100"/>
        <w:rPr>
          <w:color w:val="000000"/>
        </w:rPr>
      </w:pPr>
    </w:p>
    <w:p w14:paraId="67C8C4B9" w14:textId="77777777" w:rsidR="00A77B3E" w:rsidRDefault="00000000">
      <w:pPr>
        <w:pStyle w:val="Heading5"/>
        <w:spacing w:before="100" w:after="0"/>
        <w:rPr>
          <w:b w:val="0"/>
          <w:i w:val="0"/>
          <w:color w:val="000000"/>
          <w:sz w:val="24"/>
        </w:rPr>
      </w:pPr>
      <w:bookmarkStart w:id="101" w:name="_Toc256000258"/>
      <w:r>
        <w:rPr>
          <w:b w:val="0"/>
          <w:i w:val="0"/>
          <w:color w:val="000000"/>
          <w:sz w:val="24"/>
        </w:rPr>
        <w:t>The planned use of financial instruments – point (d)(vii) of Article 22(3) CPR</w:t>
      </w:r>
      <w:bookmarkEnd w:id="101"/>
    </w:p>
    <w:p w14:paraId="1C2FE65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72BB3E7"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A572F8" w14:textId="77777777" w:rsidR="00A77B3E" w:rsidRDefault="00A77B3E">
            <w:pPr>
              <w:spacing w:before="100"/>
              <w:rPr>
                <w:color w:val="000000"/>
                <w:sz w:val="0"/>
              </w:rPr>
            </w:pPr>
          </w:p>
          <w:p w14:paraId="0A389799" w14:textId="77777777" w:rsidR="00A77B3E" w:rsidRDefault="00000000">
            <w:pPr>
              <w:spacing w:before="100"/>
              <w:rPr>
                <w:color w:val="000000"/>
              </w:rPr>
            </w:pPr>
            <w:r>
              <w:rPr>
                <w:color w:val="000000"/>
              </w:rPr>
              <w:t xml:space="preserve">The selected form of support for Action RSO1.6.1 and Action RSO1.6.2 is grants. The goal is to develop new </w:t>
            </w:r>
            <w:proofErr w:type="spellStart"/>
            <w:r>
              <w:rPr>
                <w:color w:val="000000"/>
              </w:rPr>
              <w:t>entrepreneural</w:t>
            </w:r>
            <w:proofErr w:type="spellEnd"/>
            <w:r>
              <w:rPr>
                <w:color w:val="000000"/>
              </w:rPr>
              <w:t xml:space="preserve"> skills and new innovations in product or process technologies that are closer to </w:t>
            </w:r>
            <w:proofErr w:type="spellStart"/>
            <w:r>
              <w:rPr>
                <w:color w:val="000000"/>
              </w:rPr>
              <w:t>commerialisation</w:t>
            </w:r>
            <w:proofErr w:type="spellEnd"/>
            <w:r>
              <w:rPr>
                <w:color w:val="000000"/>
              </w:rPr>
              <w:t>, and capable of securing further investment, but the supported activities are not expected to generate a return. Financial instruments may be suitable for follow-on support and investment but would not be suitable for the projects supported under these actions.</w:t>
            </w:r>
          </w:p>
          <w:p w14:paraId="381C73AB" w14:textId="77777777" w:rsidR="00A77B3E" w:rsidRDefault="00A77B3E">
            <w:pPr>
              <w:spacing w:before="100"/>
              <w:rPr>
                <w:color w:val="000000"/>
                <w:sz w:val="6"/>
              </w:rPr>
            </w:pPr>
          </w:p>
          <w:p w14:paraId="368E2B9B" w14:textId="77777777" w:rsidR="00A77B3E" w:rsidRDefault="00A77B3E">
            <w:pPr>
              <w:spacing w:before="100"/>
              <w:rPr>
                <w:color w:val="000000"/>
                <w:sz w:val="6"/>
              </w:rPr>
            </w:pPr>
          </w:p>
        </w:tc>
      </w:tr>
    </w:tbl>
    <w:p w14:paraId="32A1492F" w14:textId="77777777" w:rsidR="00A77B3E" w:rsidRDefault="00A77B3E">
      <w:pPr>
        <w:spacing w:before="100"/>
        <w:rPr>
          <w:color w:val="000000"/>
        </w:rPr>
      </w:pPr>
    </w:p>
    <w:p w14:paraId="7081669D" w14:textId="77777777" w:rsidR="00A77B3E" w:rsidRDefault="00000000">
      <w:pPr>
        <w:pStyle w:val="Heading4"/>
        <w:spacing w:before="100" w:after="0"/>
        <w:rPr>
          <w:b w:val="0"/>
          <w:color w:val="000000"/>
          <w:sz w:val="24"/>
        </w:rPr>
      </w:pPr>
      <w:bookmarkStart w:id="102" w:name="_Toc256000259"/>
      <w:r>
        <w:rPr>
          <w:b w:val="0"/>
          <w:color w:val="000000"/>
          <w:sz w:val="24"/>
        </w:rPr>
        <w:t>2.1.1.1.2. Indicators</w:t>
      </w:r>
      <w:bookmarkEnd w:id="102"/>
    </w:p>
    <w:p w14:paraId="2F4A8D5F" w14:textId="77777777" w:rsidR="00A77B3E" w:rsidRDefault="00A77B3E">
      <w:pPr>
        <w:spacing w:before="100"/>
        <w:rPr>
          <w:color w:val="000000"/>
          <w:sz w:val="0"/>
        </w:rPr>
      </w:pPr>
    </w:p>
    <w:p w14:paraId="5A1E448F" w14:textId="77777777" w:rsidR="00A77B3E" w:rsidRDefault="00000000">
      <w:pPr>
        <w:spacing w:before="100"/>
        <w:rPr>
          <w:color w:val="000000"/>
          <w:sz w:val="0"/>
        </w:rPr>
      </w:pPr>
      <w:r>
        <w:rPr>
          <w:color w:val="000000"/>
        </w:rPr>
        <w:t>Reference: point (d)(ii) of Article 22(3) CPR and Article 8 ERDF and CF Regulation</w:t>
      </w:r>
    </w:p>
    <w:p w14:paraId="563913FD" w14:textId="77777777" w:rsidR="00A77B3E" w:rsidRDefault="00000000">
      <w:pPr>
        <w:pStyle w:val="Heading5"/>
        <w:spacing w:before="100" w:after="0"/>
        <w:rPr>
          <w:b w:val="0"/>
          <w:i w:val="0"/>
          <w:color w:val="000000"/>
          <w:sz w:val="24"/>
        </w:rPr>
      </w:pPr>
      <w:bookmarkStart w:id="103" w:name="_Toc256000260"/>
      <w:r>
        <w:rPr>
          <w:b w:val="0"/>
          <w:i w:val="0"/>
          <w:color w:val="000000"/>
          <w:sz w:val="24"/>
        </w:rPr>
        <w:t>Table 2: Output indicators</w:t>
      </w:r>
      <w:bookmarkEnd w:id="103"/>
    </w:p>
    <w:p w14:paraId="66C0BC48"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360"/>
        <w:gridCol w:w="632"/>
        <w:gridCol w:w="1437"/>
        <w:gridCol w:w="832"/>
        <w:gridCol w:w="6306"/>
        <w:gridCol w:w="1468"/>
        <w:gridCol w:w="1339"/>
        <w:gridCol w:w="1065"/>
      </w:tblGrid>
      <w:tr w:rsidR="00B82D50" w14:paraId="4C42891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03FB2A"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C7280A"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57E0CD"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57D1CB"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1830DC"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175923"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C37F3C"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F513CF" w14:textId="77777777" w:rsidR="00A77B3E" w:rsidRDefault="00000000">
            <w:pPr>
              <w:spacing w:before="100"/>
              <w:jc w:val="center"/>
              <w:rPr>
                <w:color w:val="000000"/>
                <w:sz w:val="20"/>
              </w:rPr>
            </w:pPr>
            <w:r>
              <w:rPr>
                <w:color w:val="000000"/>
                <w:sz w:val="20"/>
              </w:rPr>
              <w:t>Milestone (2024)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05E583" w14:textId="77777777" w:rsidR="00A77B3E" w:rsidRDefault="00000000">
            <w:pPr>
              <w:spacing w:before="100"/>
              <w:jc w:val="center"/>
              <w:rPr>
                <w:color w:val="000000"/>
                <w:sz w:val="20"/>
              </w:rPr>
            </w:pPr>
            <w:r>
              <w:rPr>
                <w:color w:val="000000"/>
                <w:sz w:val="20"/>
              </w:rPr>
              <w:t>Target (2029)</w:t>
            </w:r>
          </w:p>
        </w:tc>
      </w:tr>
      <w:tr w:rsidR="00B82D50" w14:paraId="2A4C533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9106AD"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B9E8D9"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26AA0C"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56405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F0301" w14:textId="77777777" w:rsidR="00A77B3E" w:rsidRDefault="00000000">
            <w:pPr>
              <w:spacing w:before="100"/>
              <w:rPr>
                <w:color w:val="000000"/>
                <w:sz w:val="20"/>
              </w:rPr>
            </w:pPr>
            <w:r>
              <w:rPr>
                <w:color w:val="000000"/>
                <w:sz w:val="20"/>
              </w:rPr>
              <w:t>RCO01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52F616" w14:textId="77777777" w:rsidR="00A77B3E" w:rsidRDefault="00000000">
            <w:pPr>
              <w:spacing w:before="100"/>
              <w:rPr>
                <w:color w:val="000000"/>
                <w:sz w:val="20"/>
              </w:rPr>
            </w:pPr>
            <w:r>
              <w:rPr>
                <w:color w:val="000000"/>
                <w:sz w:val="20"/>
              </w:rPr>
              <w:t>Enterprises supported (of which: micro, small, medium, large)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B770BA"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6C5506"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06D5FF" w14:textId="77777777" w:rsidR="00A77B3E" w:rsidRDefault="00000000">
            <w:pPr>
              <w:spacing w:before="100"/>
              <w:jc w:val="right"/>
              <w:rPr>
                <w:color w:val="000000"/>
                <w:sz w:val="20"/>
              </w:rPr>
            </w:pPr>
            <w:r>
              <w:rPr>
                <w:color w:val="000000"/>
                <w:sz w:val="20"/>
              </w:rPr>
              <w:t>8.00</w:t>
            </w:r>
          </w:p>
        </w:tc>
      </w:tr>
      <w:tr w:rsidR="00B82D50" w14:paraId="1377BAB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20DB3D"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879BD7"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72311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D1283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01105E" w14:textId="77777777" w:rsidR="00A77B3E" w:rsidRDefault="00000000">
            <w:pPr>
              <w:spacing w:before="100"/>
              <w:rPr>
                <w:color w:val="000000"/>
                <w:sz w:val="20"/>
              </w:rPr>
            </w:pPr>
            <w:r>
              <w:rPr>
                <w:color w:val="000000"/>
                <w:sz w:val="20"/>
              </w:rPr>
              <w:t>RCO02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DD8AB6" w14:textId="77777777" w:rsidR="00A77B3E" w:rsidRDefault="00000000">
            <w:pPr>
              <w:spacing w:before="100"/>
              <w:rPr>
                <w:color w:val="000000"/>
                <w:sz w:val="20"/>
              </w:rPr>
            </w:pPr>
            <w:r>
              <w:rPr>
                <w:color w:val="000000"/>
                <w:sz w:val="20"/>
              </w:rPr>
              <w:t>Enterprises supported by grants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1F5A8A"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E11242"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865BAC" w14:textId="77777777" w:rsidR="00A77B3E" w:rsidRDefault="00000000">
            <w:pPr>
              <w:spacing w:before="100"/>
              <w:jc w:val="right"/>
              <w:rPr>
                <w:color w:val="000000"/>
                <w:sz w:val="20"/>
              </w:rPr>
            </w:pPr>
            <w:r>
              <w:rPr>
                <w:color w:val="000000"/>
                <w:sz w:val="20"/>
              </w:rPr>
              <w:t>8.00</w:t>
            </w:r>
          </w:p>
        </w:tc>
      </w:tr>
      <w:tr w:rsidR="00B82D50" w14:paraId="7DED6A0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42C12A"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F95B6C"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3351F1F"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F7966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525C83" w14:textId="77777777" w:rsidR="00A77B3E" w:rsidRDefault="00000000">
            <w:pPr>
              <w:spacing w:before="100"/>
              <w:rPr>
                <w:color w:val="000000"/>
                <w:sz w:val="20"/>
              </w:rPr>
            </w:pPr>
            <w:r>
              <w:rPr>
                <w:color w:val="000000"/>
                <w:sz w:val="20"/>
              </w:rPr>
              <w:t>RCO05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B3FF1C" w14:textId="77777777" w:rsidR="00A77B3E" w:rsidRDefault="00000000">
            <w:pPr>
              <w:spacing w:before="100"/>
              <w:rPr>
                <w:color w:val="000000"/>
                <w:sz w:val="20"/>
              </w:rPr>
            </w:pPr>
            <w:r>
              <w:rPr>
                <w:color w:val="000000"/>
                <w:sz w:val="20"/>
              </w:rPr>
              <w:t>New enterprises supported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4E8FD7"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F10D8F"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A21ADC" w14:textId="77777777" w:rsidR="00A77B3E" w:rsidRDefault="00000000">
            <w:pPr>
              <w:spacing w:before="100"/>
              <w:jc w:val="right"/>
              <w:rPr>
                <w:color w:val="000000"/>
                <w:sz w:val="20"/>
              </w:rPr>
            </w:pPr>
            <w:r>
              <w:rPr>
                <w:color w:val="000000"/>
                <w:sz w:val="20"/>
              </w:rPr>
              <w:t>2.00</w:t>
            </w:r>
          </w:p>
        </w:tc>
      </w:tr>
      <w:tr w:rsidR="00B82D50" w14:paraId="7AA157B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0A3F94"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35D5EC"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5CB1AD"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1905C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FE70AA" w14:textId="77777777" w:rsidR="00A77B3E" w:rsidRDefault="00000000">
            <w:pPr>
              <w:spacing w:before="100"/>
              <w:rPr>
                <w:color w:val="000000"/>
                <w:sz w:val="20"/>
              </w:rPr>
            </w:pPr>
            <w:r>
              <w:rPr>
                <w:color w:val="000000"/>
                <w:sz w:val="20"/>
              </w:rPr>
              <w:t>RCO125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350267" w14:textId="77777777" w:rsidR="00A77B3E" w:rsidRDefault="00000000">
            <w:pPr>
              <w:spacing w:before="100"/>
              <w:rPr>
                <w:color w:val="000000"/>
                <w:sz w:val="20"/>
              </w:rPr>
            </w:pPr>
            <w:r>
              <w:rPr>
                <w:color w:val="000000"/>
                <w:sz w:val="20"/>
              </w:rPr>
              <w:t>Enterprises linked primarily to digital technologies and deep tech innovations productive investments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A9D853"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DCB6C1"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5BD258" w14:textId="77777777" w:rsidR="00A77B3E" w:rsidRDefault="00000000">
            <w:pPr>
              <w:spacing w:before="100"/>
              <w:jc w:val="right"/>
              <w:rPr>
                <w:color w:val="000000"/>
                <w:sz w:val="20"/>
              </w:rPr>
            </w:pPr>
            <w:r>
              <w:rPr>
                <w:color w:val="000000"/>
                <w:sz w:val="20"/>
              </w:rPr>
              <w:t>2.00</w:t>
            </w:r>
          </w:p>
        </w:tc>
      </w:tr>
      <w:tr w:rsidR="00B82D50" w14:paraId="2E6C07A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AE7726"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1DAFDE"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F0A0EE"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5A96A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52C72F" w14:textId="77777777" w:rsidR="00A77B3E" w:rsidRDefault="00000000">
            <w:pPr>
              <w:spacing w:before="100"/>
              <w:rPr>
                <w:color w:val="000000"/>
                <w:sz w:val="20"/>
              </w:rPr>
            </w:pPr>
            <w:r>
              <w:rPr>
                <w:color w:val="000000"/>
                <w:sz w:val="20"/>
              </w:rPr>
              <w:t>RCO126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B01E3B" w14:textId="77777777" w:rsidR="00A77B3E" w:rsidRDefault="00000000">
            <w:pPr>
              <w:spacing w:before="100"/>
              <w:rPr>
                <w:color w:val="000000"/>
                <w:sz w:val="20"/>
              </w:rPr>
            </w:pPr>
            <w:r>
              <w:rPr>
                <w:color w:val="000000"/>
                <w:sz w:val="20"/>
              </w:rPr>
              <w:t>Enterprises linked primarily to clean and resource-efficient technologies productive investments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849434"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364F67"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910B51" w14:textId="77777777" w:rsidR="00A77B3E" w:rsidRDefault="00000000">
            <w:pPr>
              <w:spacing w:before="100"/>
              <w:jc w:val="right"/>
              <w:rPr>
                <w:color w:val="000000"/>
                <w:sz w:val="20"/>
              </w:rPr>
            </w:pPr>
            <w:r>
              <w:rPr>
                <w:color w:val="000000"/>
                <w:sz w:val="20"/>
              </w:rPr>
              <w:t>3.00</w:t>
            </w:r>
          </w:p>
        </w:tc>
      </w:tr>
      <w:tr w:rsidR="00B82D50" w14:paraId="3D3C52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6E7AB9"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66B1A6"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B9E7C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FC89CB"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3F37E1" w14:textId="77777777" w:rsidR="00A77B3E" w:rsidRDefault="00000000">
            <w:pPr>
              <w:spacing w:before="100"/>
              <w:rPr>
                <w:color w:val="000000"/>
                <w:sz w:val="20"/>
              </w:rPr>
            </w:pPr>
            <w:r>
              <w:rPr>
                <w:color w:val="000000"/>
                <w:sz w:val="20"/>
              </w:rPr>
              <w:t>RCO127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4F9006" w14:textId="77777777" w:rsidR="00A77B3E" w:rsidRDefault="00000000">
            <w:pPr>
              <w:spacing w:before="100"/>
              <w:rPr>
                <w:color w:val="000000"/>
                <w:sz w:val="20"/>
              </w:rPr>
            </w:pPr>
            <w:r>
              <w:rPr>
                <w:color w:val="000000"/>
                <w:sz w:val="20"/>
              </w:rPr>
              <w:t>Enterprises linked primarily to biotechnologies productive investments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55157D"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26380C"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4103D2" w14:textId="77777777" w:rsidR="00A77B3E" w:rsidRDefault="00000000">
            <w:pPr>
              <w:spacing w:before="100"/>
              <w:jc w:val="right"/>
              <w:rPr>
                <w:color w:val="000000"/>
                <w:sz w:val="20"/>
              </w:rPr>
            </w:pPr>
            <w:r>
              <w:rPr>
                <w:color w:val="000000"/>
                <w:sz w:val="20"/>
              </w:rPr>
              <w:t>3.00</w:t>
            </w:r>
          </w:p>
        </w:tc>
      </w:tr>
      <w:tr w:rsidR="00B82D50" w14:paraId="71E21D4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3B8F75"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FB5D95"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42146B"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1606F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151C9F" w14:textId="77777777" w:rsidR="00A77B3E" w:rsidRDefault="00000000">
            <w:pPr>
              <w:spacing w:before="100"/>
              <w:rPr>
                <w:color w:val="000000"/>
                <w:sz w:val="20"/>
              </w:rPr>
            </w:pPr>
            <w:r>
              <w:rPr>
                <w:color w:val="000000"/>
                <w:sz w:val="20"/>
              </w:rPr>
              <w:t>PSO01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F7EE47" w14:textId="77777777" w:rsidR="00A77B3E" w:rsidRDefault="00000000">
            <w:pPr>
              <w:spacing w:before="100"/>
              <w:rPr>
                <w:color w:val="000000"/>
                <w:sz w:val="20"/>
              </w:rPr>
            </w:pPr>
            <w:r>
              <w:rPr>
                <w:color w:val="000000"/>
                <w:sz w:val="20"/>
              </w:rPr>
              <w:t xml:space="preserve">Number of Fellows completing a needs-led innovation training </w:t>
            </w:r>
            <w:proofErr w:type="spellStart"/>
            <w:r>
              <w:rPr>
                <w:color w:val="000000"/>
                <w:sz w:val="20"/>
              </w:rPr>
              <w:t>programme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7D16EC" w14:textId="77777777" w:rsidR="00A77B3E" w:rsidRDefault="00000000">
            <w:pPr>
              <w:spacing w:before="100"/>
              <w:rPr>
                <w:color w:val="000000"/>
                <w:sz w:val="20"/>
              </w:rPr>
            </w:pPr>
            <w:r>
              <w:rPr>
                <w:color w:val="000000"/>
                <w:sz w:val="20"/>
              </w:rPr>
              <w:t>participants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E5429C"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394393" w14:textId="77777777" w:rsidR="00A77B3E" w:rsidRDefault="00000000">
            <w:pPr>
              <w:spacing w:before="100"/>
              <w:jc w:val="right"/>
              <w:rPr>
                <w:color w:val="000000"/>
                <w:sz w:val="20"/>
              </w:rPr>
            </w:pPr>
            <w:r>
              <w:rPr>
                <w:color w:val="000000"/>
                <w:sz w:val="20"/>
              </w:rPr>
              <w:t>60.00</w:t>
            </w:r>
          </w:p>
        </w:tc>
      </w:tr>
    </w:tbl>
    <w:p w14:paraId="0A89A2C2" w14:textId="77777777" w:rsidR="00A77B3E" w:rsidRDefault="00A77B3E">
      <w:pPr>
        <w:spacing w:before="100"/>
        <w:rPr>
          <w:color w:val="000000"/>
          <w:sz w:val="20"/>
        </w:rPr>
      </w:pPr>
    </w:p>
    <w:p w14:paraId="5D359310" w14:textId="77777777" w:rsidR="00A77B3E" w:rsidRDefault="00000000">
      <w:pPr>
        <w:spacing w:before="100"/>
        <w:rPr>
          <w:color w:val="000000"/>
          <w:sz w:val="0"/>
        </w:rPr>
      </w:pPr>
      <w:r>
        <w:rPr>
          <w:color w:val="000000"/>
        </w:rPr>
        <w:t>Reference: point (d)(ii) of Article 22(3) CPR</w:t>
      </w:r>
    </w:p>
    <w:p w14:paraId="6B57BB8E" w14:textId="77777777" w:rsidR="00A77B3E" w:rsidRDefault="00000000">
      <w:pPr>
        <w:pStyle w:val="Heading5"/>
        <w:spacing w:before="100" w:after="0"/>
        <w:rPr>
          <w:b w:val="0"/>
          <w:i w:val="0"/>
          <w:color w:val="000000"/>
          <w:sz w:val="24"/>
        </w:rPr>
      </w:pPr>
      <w:bookmarkStart w:id="104" w:name="_Toc256000261"/>
      <w:r>
        <w:rPr>
          <w:b w:val="0"/>
          <w:i w:val="0"/>
          <w:color w:val="000000"/>
          <w:sz w:val="24"/>
        </w:rPr>
        <w:t>Table 3: Result indicators</w:t>
      </w:r>
      <w:bookmarkEnd w:id="104"/>
    </w:p>
    <w:p w14:paraId="1FC32243"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126"/>
        <w:gridCol w:w="632"/>
        <w:gridCol w:w="1209"/>
        <w:gridCol w:w="721"/>
        <w:gridCol w:w="3483"/>
        <w:gridCol w:w="1678"/>
        <w:gridCol w:w="1421"/>
        <w:gridCol w:w="1101"/>
        <w:gridCol w:w="875"/>
        <w:gridCol w:w="1207"/>
        <w:gridCol w:w="987"/>
      </w:tblGrid>
      <w:tr w:rsidR="00B82D50" w14:paraId="25E7FE9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061891"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E93D4E"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E1AFE0"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251CB6"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CB412B" w14:textId="77777777" w:rsidR="00A77B3E" w:rsidRDefault="00000000">
            <w:pPr>
              <w:spacing w:before="100"/>
              <w:jc w:val="center"/>
              <w:rPr>
                <w:color w:val="000000"/>
                <w:sz w:val="20"/>
              </w:rPr>
            </w:pPr>
            <w:r>
              <w:rPr>
                <w:color w:val="000000"/>
                <w:sz w:val="20"/>
              </w:rPr>
              <w:t>ID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8FDA4C" w14:textId="77777777" w:rsidR="00A77B3E" w:rsidRDefault="00000000">
            <w:pPr>
              <w:spacing w:before="100"/>
              <w:jc w:val="center"/>
              <w:rPr>
                <w:color w:val="000000"/>
                <w:sz w:val="20"/>
              </w:rPr>
            </w:pPr>
            <w:r>
              <w:rPr>
                <w:color w:val="000000"/>
                <w:sz w:val="20"/>
              </w:rPr>
              <w:t>Indicator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B680FB" w14:textId="77777777" w:rsidR="00A77B3E" w:rsidRDefault="00000000">
            <w:pPr>
              <w:spacing w:before="100"/>
              <w:jc w:val="center"/>
              <w:rPr>
                <w:color w:val="000000"/>
                <w:sz w:val="20"/>
              </w:rPr>
            </w:pPr>
            <w:r>
              <w:rPr>
                <w:color w:val="000000"/>
                <w:sz w:val="20"/>
              </w:rPr>
              <w:t>Measurement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7F022F" w14:textId="77777777" w:rsidR="00A77B3E" w:rsidRDefault="00000000">
            <w:pPr>
              <w:spacing w:before="100"/>
              <w:jc w:val="center"/>
              <w:rPr>
                <w:color w:val="000000"/>
                <w:sz w:val="20"/>
              </w:rPr>
            </w:pPr>
            <w:r>
              <w:rPr>
                <w:color w:val="000000"/>
                <w:sz w:val="20"/>
              </w:rPr>
              <w:t>Baseline or reference value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83BF95" w14:textId="77777777" w:rsidR="00A77B3E" w:rsidRDefault="00000000">
            <w:pPr>
              <w:spacing w:before="100"/>
              <w:jc w:val="center"/>
              <w:rPr>
                <w:color w:val="000000"/>
                <w:sz w:val="20"/>
              </w:rPr>
            </w:pPr>
            <w:r>
              <w:rPr>
                <w:color w:val="000000"/>
                <w:sz w:val="20"/>
              </w:rPr>
              <w:t>Reference Year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59904B" w14:textId="77777777" w:rsidR="00A77B3E" w:rsidRDefault="00000000">
            <w:pPr>
              <w:spacing w:before="100"/>
              <w:jc w:val="center"/>
              <w:rPr>
                <w:color w:val="000000"/>
                <w:sz w:val="20"/>
              </w:rPr>
            </w:pPr>
            <w:r>
              <w:rPr>
                <w:color w:val="000000"/>
                <w:sz w:val="20"/>
              </w:rPr>
              <w:t>Target (2029)</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016CEE" w14:textId="77777777" w:rsidR="00A77B3E" w:rsidRDefault="00000000">
            <w:pPr>
              <w:spacing w:before="100"/>
              <w:jc w:val="center"/>
              <w:rPr>
                <w:color w:val="000000"/>
                <w:sz w:val="20"/>
              </w:rPr>
            </w:pPr>
            <w:r>
              <w:rPr>
                <w:color w:val="000000"/>
                <w:sz w:val="20"/>
              </w:rPr>
              <w:t>Source of data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BCBE94" w14:textId="77777777" w:rsidR="00A77B3E" w:rsidRDefault="00000000">
            <w:pPr>
              <w:spacing w:before="100"/>
              <w:jc w:val="center"/>
              <w:rPr>
                <w:color w:val="000000"/>
                <w:sz w:val="20"/>
              </w:rPr>
            </w:pPr>
            <w:r>
              <w:rPr>
                <w:color w:val="000000"/>
                <w:sz w:val="20"/>
              </w:rPr>
              <w:t>Comments</w:t>
            </w:r>
          </w:p>
        </w:tc>
      </w:tr>
      <w:tr w:rsidR="00B82D50" w14:paraId="639B408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1FDED8"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B4F070"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78EF13"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788571"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A41C36" w14:textId="77777777" w:rsidR="00A77B3E" w:rsidRDefault="00000000">
            <w:pPr>
              <w:spacing w:before="100"/>
              <w:rPr>
                <w:color w:val="000000"/>
                <w:sz w:val="20"/>
              </w:rPr>
            </w:pPr>
            <w:r>
              <w:rPr>
                <w:color w:val="000000"/>
                <w:sz w:val="20"/>
              </w:rPr>
              <w:t>RCR03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DB2D7D" w14:textId="77777777" w:rsidR="00A77B3E" w:rsidRDefault="00000000">
            <w:pPr>
              <w:spacing w:before="100"/>
              <w:rPr>
                <w:color w:val="000000"/>
                <w:sz w:val="20"/>
              </w:rPr>
            </w:pPr>
            <w:r>
              <w:rPr>
                <w:color w:val="000000"/>
                <w:sz w:val="20"/>
              </w:rPr>
              <w:t>Small and medium-sized enterprises (SMEs) introducing product or process innovation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6D0781" w14:textId="77777777" w:rsidR="00A77B3E" w:rsidRDefault="00000000">
            <w:pPr>
              <w:spacing w:before="100"/>
              <w:rPr>
                <w:color w:val="000000"/>
                <w:sz w:val="20"/>
              </w:rPr>
            </w:pPr>
            <w:r>
              <w:rPr>
                <w:color w:val="000000"/>
                <w:sz w:val="20"/>
              </w:rPr>
              <w:t>enterprises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C59358"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B24247" w14:textId="77777777" w:rsidR="00A77B3E" w:rsidRDefault="00000000">
            <w:pPr>
              <w:spacing w:before="100"/>
              <w:jc w:val="center"/>
              <w:rPr>
                <w:color w:val="000000"/>
                <w:sz w:val="20"/>
              </w:rPr>
            </w:pPr>
            <w:r>
              <w:rPr>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A5772E" w14:textId="77777777" w:rsidR="00A77B3E" w:rsidRDefault="00000000">
            <w:pPr>
              <w:spacing w:before="100"/>
              <w:jc w:val="right"/>
              <w:rPr>
                <w:color w:val="000000"/>
                <w:sz w:val="20"/>
              </w:rPr>
            </w:pPr>
            <w:r>
              <w:rPr>
                <w:color w:val="000000"/>
                <w:sz w:val="20"/>
              </w:rPr>
              <w:t>8.00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DA144C" w14:textId="77777777" w:rsidR="00A77B3E" w:rsidRDefault="00000000">
            <w:pPr>
              <w:spacing w:before="100"/>
              <w:rPr>
                <w:color w:val="000000"/>
                <w:sz w:val="20"/>
              </w:rPr>
            </w:pPr>
            <w:r>
              <w:rPr>
                <w:color w:val="000000"/>
                <w:sz w:val="20"/>
              </w:rPr>
              <w:t>Supported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4999BA" w14:textId="77777777" w:rsidR="00A77B3E" w:rsidRDefault="00A77B3E">
            <w:pPr>
              <w:spacing w:before="100"/>
              <w:rPr>
                <w:color w:val="000000"/>
                <w:sz w:val="20"/>
              </w:rPr>
            </w:pPr>
          </w:p>
        </w:tc>
      </w:tr>
      <w:tr w:rsidR="00B82D50" w14:paraId="4E5CAEB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081BBE"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1D1C8C"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DCD624"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0FEE27"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304E85" w14:textId="77777777" w:rsidR="00A77B3E" w:rsidRDefault="00000000">
            <w:pPr>
              <w:spacing w:before="100"/>
              <w:rPr>
                <w:color w:val="000000"/>
                <w:sz w:val="20"/>
              </w:rPr>
            </w:pPr>
            <w:r>
              <w:rPr>
                <w:color w:val="000000"/>
                <w:sz w:val="20"/>
              </w:rPr>
              <w:t>PSR03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412401" w14:textId="77777777" w:rsidR="00A77B3E" w:rsidRDefault="00000000">
            <w:pPr>
              <w:spacing w:before="100"/>
              <w:rPr>
                <w:color w:val="000000"/>
                <w:sz w:val="20"/>
              </w:rPr>
            </w:pPr>
            <w:r>
              <w:rPr>
                <w:color w:val="000000"/>
                <w:sz w:val="20"/>
              </w:rPr>
              <w:t>Licensed 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EEC1E" w14:textId="77777777" w:rsidR="00A77B3E" w:rsidRDefault="00000000">
            <w:pPr>
              <w:spacing w:before="100"/>
              <w:rPr>
                <w:color w:val="000000"/>
                <w:sz w:val="20"/>
              </w:rPr>
            </w:pPr>
            <w:r>
              <w:rPr>
                <w:color w:val="000000"/>
                <w:sz w:val="20"/>
              </w:rPr>
              <w:t>intellectual property licenses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8505C0"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3A8233" w14:textId="77777777" w:rsidR="00A77B3E" w:rsidRDefault="00000000">
            <w:pPr>
              <w:spacing w:before="100"/>
              <w:jc w:val="center"/>
              <w:rPr>
                <w:color w:val="000000"/>
                <w:sz w:val="20"/>
              </w:rPr>
            </w:pPr>
            <w:r>
              <w:rPr>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A1A422" w14:textId="77777777" w:rsidR="00A77B3E" w:rsidRDefault="00000000">
            <w:pPr>
              <w:spacing w:before="100"/>
              <w:jc w:val="right"/>
              <w:rPr>
                <w:color w:val="000000"/>
                <w:sz w:val="20"/>
              </w:rPr>
            </w:pPr>
            <w:r>
              <w:rPr>
                <w:color w:val="000000"/>
                <w:sz w:val="20"/>
              </w:rPr>
              <w:t>6.00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22A2BD" w14:textId="77777777" w:rsidR="00A77B3E" w:rsidRDefault="00000000">
            <w:pPr>
              <w:spacing w:before="100"/>
              <w:rPr>
                <w:color w:val="000000"/>
                <w:sz w:val="20"/>
              </w:rPr>
            </w:pPr>
            <w:r>
              <w:rPr>
                <w:color w:val="000000"/>
                <w:sz w:val="20"/>
              </w:rPr>
              <w:t>Project reporting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CA0633" w14:textId="77777777" w:rsidR="00A77B3E" w:rsidRDefault="00A77B3E">
            <w:pPr>
              <w:spacing w:before="100"/>
              <w:rPr>
                <w:color w:val="000000"/>
                <w:sz w:val="20"/>
              </w:rPr>
            </w:pPr>
          </w:p>
        </w:tc>
      </w:tr>
      <w:tr w:rsidR="00B82D50" w14:paraId="0F98358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A67FCF"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821B4B"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5DBFB9"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90EDE1"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02AA21" w14:textId="77777777" w:rsidR="00A77B3E" w:rsidRDefault="00000000">
            <w:pPr>
              <w:spacing w:before="100"/>
              <w:rPr>
                <w:color w:val="000000"/>
                <w:sz w:val="20"/>
              </w:rPr>
            </w:pPr>
            <w:r>
              <w:rPr>
                <w:color w:val="000000"/>
                <w:sz w:val="20"/>
              </w:rPr>
              <w:t>PSR06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458236" w14:textId="77777777" w:rsidR="00A77B3E" w:rsidRDefault="00000000">
            <w:pPr>
              <w:spacing w:before="100"/>
              <w:rPr>
                <w:color w:val="000000"/>
                <w:sz w:val="20"/>
              </w:rPr>
            </w:pPr>
            <w:r>
              <w:rPr>
                <w:color w:val="000000"/>
                <w:sz w:val="20"/>
              </w:rPr>
              <w:t>Number of HPSUs created as a result of the completed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A143BC" w14:textId="77777777" w:rsidR="00A77B3E" w:rsidRDefault="00000000">
            <w:pPr>
              <w:spacing w:before="100"/>
              <w:rPr>
                <w:color w:val="000000"/>
                <w:sz w:val="20"/>
              </w:rPr>
            </w:pPr>
            <w:r>
              <w:rPr>
                <w:color w:val="000000"/>
                <w:sz w:val="20"/>
              </w:rPr>
              <w:t>HPSUs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B04F5A" w14:textId="77777777" w:rsidR="00A77B3E" w:rsidRDefault="00000000">
            <w:pPr>
              <w:spacing w:before="100"/>
              <w:jc w:val="right"/>
              <w:rPr>
                <w:color w:val="000000"/>
                <w:sz w:val="20"/>
              </w:rPr>
            </w:pPr>
            <w:r>
              <w:rPr>
                <w:color w:val="000000"/>
                <w:sz w:val="20"/>
              </w:rPr>
              <w:t>0.00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E0F12E" w14:textId="77777777" w:rsidR="00A77B3E" w:rsidRDefault="00000000">
            <w:pPr>
              <w:spacing w:before="100"/>
              <w:jc w:val="center"/>
              <w:rPr>
                <w:color w:val="000000"/>
                <w:sz w:val="20"/>
              </w:rPr>
            </w:pPr>
            <w:r>
              <w:rPr>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916879" w14:textId="77777777" w:rsidR="00A77B3E" w:rsidRDefault="00000000">
            <w:pPr>
              <w:spacing w:before="100"/>
              <w:jc w:val="right"/>
              <w:rPr>
                <w:color w:val="000000"/>
                <w:sz w:val="20"/>
              </w:rPr>
            </w:pPr>
            <w:r>
              <w:rPr>
                <w:color w:val="000000"/>
                <w:sz w:val="20"/>
              </w:rPr>
              <w:t>3.00</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61C00C" w14:textId="77777777" w:rsidR="00A77B3E" w:rsidRDefault="00000000">
            <w:pPr>
              <w:spacing w:before="100"/>
              <w:rPr>
                <w:color w:val="000000"/>
                <w:sz w:val="20"/>
              </w:rPr>
            </w:pPr>
            <w:r>
              <w:rPr>
                <w:color w:val="000000"/>
                <w:sz w:val="20"/>
              </w:rPr>
              <w:t>Supported projects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11813F" w14:textId="77777777" w:rsidR="00A77B3E" w:rsidRDefault="00A77B3E">
            <w:pPr>
              <w:spacing w:before="100"/>
              <w:rPr>
                <w:color w:val="000000"/>
                <w:sz w:val="20"/>
              </w:rPr>
            </w:pPr>
          </w:p>
        </w:tc>
      </w:tr>
    </w:tbl>
    <w:p w14:paraId="5D49C472" w14:textId="77777777" w:rsidR="00A77B3E" w:rsidRDefault="00A77B3E">
      <w:pPr>
        <w:spacing w:before="100"/>
        <w:rPr>
          <w:color w:val="000000"/>
          <w:sz w:val="20"/>
        </w:rPr>
      </w:pPr>
    </w:p>
    <w:p w14:paraId="72022BCB" w14:textId="77777777" w:rsidR="00A77B3E" w:rsidRDefault="00000000">
      <w:pPr>
        <w:pStyle w:val="Heading4"/>
        <w:spacing w:before="100" w:after="0"/>
        <w:rPr>
          <w:b w:val="0"/>
          <w:color w:val="000000"/>
          <w:sz w:val="24"/>
        </w:rPr>
      </w:pPr>
      <w:bookmarkStart w:id="105" w:name="_Toc256000262"/>
      <w:r>
        <w:rPr>
          <w:b w:val="0"/>
          <w:color w:val="000000"/>
          <w:sz w:val="24"/>
        </w:rPr>
        <w:lastRenderedPageBreak/>
        <w:t>2.1.1.1.3. Indicative breakdown of the programmed resources (EU) by type of intervention</w:t>
      </w:r>
      <w:bookmarkEnd w:id="105"/>
    </w:p>
    <w:p w14:paraId="5856F78A" w14:textId="77777777" w:rsidR="00A77B3E" w:rsidRDefault="00A77B3E">
      <w:pPr>
        <w:spacing w:before="100"/>
        <w:rPr>
          <w:color w:val="000000"/>
          <w:sz w:val="0"/>
        </w:rPr>
      </w:pPr>
    </w:p>
    <w:p w14:paraId="1B635F72" w14:textId="77777777" w:rsidR="00A77B3E" w:rsidRDefault="00000000">
      <w:pPr>
        <w:spacing w:before="100"/>
        <w:rPr>
          <w:color w:val="000000"/>
          <w:sz w:val="0"/>
        </w:rPr>
      </w:pPr>
      <w:r>
        <w:rPr>
          <w:color w:val="000000"/>
        </w:rPr>
        <w:t>Reference: point (d)(viii) of Article 22(3) CPR</w:t>
      </w:r>
    </w:p>
    <w:p w14:paraId="4E516AFC" w14:textId="77777777" w:rsidR="00A77B3E" w:rsidRDefault="00000000">
      <w:pPr>
        <w:pStyle w:val="Heading5"/>
        <w:spacing w:before="100" w:after="0"/>
        <w:rPr>
          <w:b w:val="0"/>
          <w:i w:val="0"/>
          <w:color w:val="000000"/>
          <w:sz w:val="24"/>
        </w:rPr>
      </w:pPr>
      <w:bookmarkStart w:id="106" w:name="_Toc256000263"/>
      <w:r>
        <w:rPr>
          <w:b w:val="0"/>
          <w:i w:val="0"/>
          <w:color w:val="000000"/>
          <w:sz w:val="24"/>
        </w:rPr>
        <w:t>Table 4: Dimension 1 - intervention field</w:t>
      </w:r>
      <w:bookmarkEnd w:id="106"/>
    </w:p>
    <w:p w14:paraId="248225D5"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1360"/>
        <w:gridCol w:w="632"/>
        <w:gridCol w:w="1436"/>
        <w:gridCol w:w="9678"/>
        <w:gridCol w:w="1334"/>
      </w:tblGrid>
      <w:tr w:rsidR="00B82D50" w14:paraId="4AA9055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F21F84"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AFDB33"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37921F9"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191D67"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89F15B"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FCE9FA" w14:textId="77777777" w:rsidR="00A77B3E" w:rsidRDefault="00000000">
            <w:pPr>
              <w:spacing w:before="100"/>
              <w:jc w:val="center"/>
              <w:rPr>
                <w:color w:val="000000"/>
                <w:sz w:val="20"/>
              </w:rPr>
            </w:pPr>
            <w:r>
              <w:rPr>
                <w:color w:val="000000"/>
                <w:sz w:val="20"/>
              </w:rPr>
              <w:t>Amount (EUR)</w:t>
            </w:r>
          </w:p>
        </w:tc>
      </w:tr>
      <w:tr w:rsidR="00B82D50" w14:paraId="4AE7A833"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3DEB09"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6EA6B7"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FE8A47"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0BB0C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D8A1DE9" w14:textId="77777777" w:rsidR="00A77B3E" w:rsidRDefault="00000000">
            <w:pPr>
              <w:spacing w:before="100"/>
              <w:rPr>
                <w:color w:val="000000"/>
                <w:sz w:val="20"/>
              </w:rPr>
            </w:pPr>
            <w:r>
              <w:rPr>
                <w:color w:val="000000"/>
                <w:sz w:val="20"/>
              </w:rPr>
              <w:t>189. Productive investments in SMEs linked primarily to clean and resource-efficient 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AA3609" w14:textId="77777777" w:rsidR="00A77B3E" w:rsidRDefault="00000000">
            <w:pPr>
              <w:spacing w:before="100"/>
              <w:jc w:val="right"/>
              <w:rPr>
                <w:color w:val="000000"/>
                <w:sz w:val="20"/>
              </w:rPr>
            </w:pPr>
            <w:r>
              <w:rPr>
                <w:color w:val="000000"/>
                <w:sz w:val="20"/>
              </w:rPr>
              <w:t>2,000,000.00</w:t>
            </w:r>
          </w:p>
        </w:tc>
      </w:tr>
      <w:tr w:rsidR="00B82D50" w14:paraId="7B0D28A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2C7775"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EF8F8F"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632271"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2CF316"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766903" w14:textId="77777777" w:rsidR="00A77B3E" w:rsidRDefault="00000000">
            <w:pPr>
              <w:spacing w:before="100"/>
              <w:rPr>
                <w:color w:val="000000"/>
                <w:sz w:val="20"/>
              </w:rPr>
            </w:pPr>
            <w:r>
              <w:rPr>
                <w:color w:val="000000"/>
                <w:sz w:val="20"/>
              </w:rPr>
              <w:t>191. Productive investments in SMEs linked primarily to biotechnologies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A75FA5" w14:textId="77777777" w:rsidR="00A77B3E" w:rsidRDefault="00000000">
            <w:pPr>
              <w:spacing w:before="100"/>
              <w:jc w:val="right"/>
              <w:rPr>
                <w:color w:val="000000"/>
                <w:sz w:val="20"/>
              </w:rPr>
            </w:pPr>
            <w:r>
              <w:rPr>
                <w:color w:val="000000"/>
                <w:sz w:val="20"/>
              </w:rPr>
              <w:t>3,000,000.00</w:t>
            </w:r>
          </w:p>
        </w:tc>
      </w:tr>
      <w:tr w:rsidR="00B82D50" w14:paraId="4419371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DEC96B"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E1F3D8"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54ADD7"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9DDB0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E9B301" w14:textId="77777777" w:rsidR="00A77B3E" w:rsidRDefault="00000000">
            <w:pPr>
              <w:spacing w:before="100"/>
              <w:rPr>
                <w:color w:val="000000"/>
                <w:sz w:val="20"/>
              </w:rPr>
            </w:pPr>
            <w:r>
              <w:rPr>
                <w:color w:val="000000"/>
                <w:sz w:val="20"/>
              </w:rPr>
              <w:t>193. Productive investments in SMEs linked primarily to digital technologies and deep tech innovation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84FE35" w14:textId="77777777" w:rsidR="00A77B3E" w:rsidRDefault="00000000">
            <w:pPr>
              <w:spacing w:before="100"/>
              <w:jc w:val="right"/>
              <w:rPr>
                <w:color w:val="000000"/>
                <w:sz w:val="20"/>
              </w:rPr>
            </w:pPr>
            <w:r>
              <w:rPr>
                <w:color w:val="000000"/>
                <w:sz w:val="20"/>
              </w:rPr>
              <w:t>3,000,000.00</w:t>
            </w:r>
          </w:p>
        </w:tc>
      </w:tr>
      <w:tr w:rsidR="00B82D50" w14:paraId="31C644F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62F5FA"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832706"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7CFBA7"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CF13DA"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397865" w14:textId="77777777" w:rsidR="00A77B3E" w:rsidRDefault="00000000">
            <w:pPr>
              <w:spacing w:before="100"/>
              <w:rPr>
                <w:color w:val="000000"/>
                <w:sz w:val="20"/>
              </w:rPr>
            </w:pPr>
            <w:r>
              <w:rPr>
                <w:color w:val="000000"/>
                <w:sz w:val="20"/>
              </w:rPr>
              <w:t xml:space="preserve">145a. Support for the development of skills or access to employment in digital technologies and deep tech innovation, biotechnologies and </w:t>
            </w:r>
            <w:proofErr w:type="spellStart"/>
            <w:r>
              <w:rPr>
                <w:color w:val="000000"/>
                <w:sz w:val="20"/>
              </w:rPr>
              <w:t>defence</w:t>
            </w:r>
            <w:proofErr w:type="spellEnd"/>
            <w:r>
              <w:rPr>
                <w:color w:val="000000"/>
                <w:sz w:val="20"/>
              </w:rPr>
              <w:t xml:space="preserve"> 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CCB19A" w14:textId="77777777" w:rsidR="00A77B3E" w:rsidRDefault="00000000">
            <w:pPr>
              <w:spacing w:before="100"/>
              <w:jc w:val="right"/>
              <w:rPr>
                <w:color w:val="000000"/>
                <w:sz w:val="20"/>
              </w:rPr>
            </w:pPr>
            <w:r>
              <w:rPr>
                <w:color w:val="000000"/>
                <w:sz w:val="20"/>
              </w:rPr>
              <w:t>1,400,000.00</w:t>
            </w:r>
          </w:p>
        </w:tc>
      </w:tr>
      <w:tr w:rsidR="00B82D50" w14:paraId="0C3FA4B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50F12E"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13AB1"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756EFE"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2FE62F"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9E5FBA" w14:textId="77777777" w:rsidR="00A77B3E" w:rsidRDefault="00000000">
            <w:pPr>
              <w:spacing w:before="100"/>
              <w:rPr>
                <w:color w:val="000000"/>
                <w:sz w:val="20"/>
              </w:rPr>
            </w:pPr>
            <w:r>
              <w:rPr>
                <w:color w:val="000000"/>
                <w:sz w:val="20"/>
              </w:rPr>
              <w:t>145b. Support for the development of skills or access to employment in clean and resource-efficient technologies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CB6DC9" w14:textId="77777777" w:rsidR="00A77B3E" w:rsidRDefault="00000000">
            <w:pPr>
              <w:spacing w:before="100"/>
              <w:jc w:val="right"/>
              <w:rPr>
                <w:color w:val="000000"/>
                <w:sz w:val="20"/>
              </w:rPr>
            </w:pPr>
            <w:r>
              <w:rPr>
                <w:color w:val="000000"/>
                <w:sz w:val="20"/>
              </w:rPr>
              <w:t>1,400,000.00</w:t>
            </w:r>
          </w:p>
        </w:tc>
      </w:tr>
      <w:tr w:rsidR="00B82D50" w14:paraId="73124D4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9FD615"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E49AEE"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1851E2"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0A4401"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DF7DA8"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E45EB7" w14:textId="77777777" w:rsidR="00A77B3E" w:rsidRDefault="00000000">
            <w:pPr>
              <w:spacing w:before="100"/>
              <w:jc w:val="right"/>
              <w:rPr>
                <w:color w:val="000000"/>
                <w:sz w:val="20"/>
              </w:rPr>
            </w:pPr>
            <w:r>
              <w:rPr>
                <w:color w:val="000000"/>
                <w:sz w:val="20"/>
              </w:rPr>
              <w:t>10,800,000.00</w:t>
            </w:r>
          </w:p>
        </w:tc>
      </w:tr>
    </w:tbl>
    <w:p w14:paraId="202C4D01" w14:textId="77777777" w:rsidR="00A77B3E" w:rsidRDefault="00A77B3E">
      <w:pPr>
        <w:spacing w:before="100"/>
        <w:rPr>
          <w:color w:val="000000"/>
          <w:sz w:val="20"/>
        </w:rPr>
      </w:pPr>
    </w:p>
    <w:p w14:paraId="5E92E485" w14:textId="77777777" w:rsidR="00A77B3E" w:rsidRDefault="00000000">
      <w:pPr>
        <w:pStyle w:val="Heading5"/>
        <w:spacing w:before="100" w:after="0"/>
        <w:rPr>
          <w:b w:val="0"/>
          <w:i w:val="0"/>
          <w:color w:val="000000"/>
          <w:sz w:val="24"/>
        </w:rPr>
      </w:pPr>
      <w:bookmarkStart w:id="107" w:name="_Toc256000264"/>
      <w:r>
        <w:rPr>
          <w:b w:val="0"/>
          <w:i w:val="0"/>
          <w:color w:val="000000"/>
          <w:sz w:val="24"/>
        </w:rPr>
        <w:t>Table 5: Dimension 2 - form of financing</w:t>
      </w:r>
      <w:bookmarkEnd w:id="107"/>
    </w:p>
    <w:p w14:paraId="4455B54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3484"/>
        <w:gridCol w:w="1412"/>
        <w:gridCol w:w="3645"/>
        <w:gridCol w:w="1958"/>
        <w:gridCol w:w="3037"/>
      </w:tblGrid>
      <w:tr w:rsidR="00B82D50" w14:paraId="723671B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1770E1"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5241A7"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AD7C4E"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86B7F7"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4C73D9"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04FBA2" w14:textId="77777777" w:rsidR="00A77B3E" w:rsidRDefault="00000000">
            <w:pPr>
              <w:spacing w:before="100"/>
              <w:jc w:val="center"/>
              <w:rPr>
                <w:color w:val="000000"/>
                <w:sz w:val="20"/>
              </w:rPr>
            </w:pPr>
            <w:r>
              <w:rPr>
                <w:color w:val="000000"/>
                <w:sz w:val="20"/>
              </w:rPr>
              <w:t>Amount (EUR)</w:t>
            </w:r>
          </w:p>
        </w:tc>
      </w:tr>
      <w:tr w:rsidR="00B82D50" w14:paraId="0DC4041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B51056"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407628"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0197E0"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2C40D2"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BF86F8" w14:textId="77777777" w:rsidR="00A77B3E" w:rsidRDefault="00000000">
            <w:pPr>
              <w:spacing w:before="100"/>
              <w:rPr>
                <w:color w:val="000000"/>
                <w:sz w:val="20"/>
              </w:rPr>
            </w:pPr>
            <w:r>
              <w:rPr>
                <w:color w:val="000000"/>
                <w:sz w:val="20"/>
              </w:rPr>
              <w:t>01. Grant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A980ED" w14:textId="77777777" w:rsidR="00A77B3E" w:rsidRDefault="00000000">
            <w:pPr>
              <w:spacing w:before="100"/>
              <w:jc w:val="right"/>
              <w:rPr>
                <w:color w:val="000000"/>
                <w:sz w:val="20"/>
              </w:rPr>
            </w:pPr>
            <w:r>
              <w:rPr>
                <w:color w:val="000000"/>
                <w:sz w:val="20"/>
              </w:rPr>
              <w:t>10,800,000.00</w:t>
            </w:r>
          </w:p>
        </w:tc>
      </w:tr>
      <w:tr w:rsidR="00B82D50" w14:paraId="12A943F5"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DD3009"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8888A9"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EF887F"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544675"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1FB392"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38C34D" w14:textId="77777777" w:rsidR="00A77B3E" w:rsidRDefault="00000000">
            <w:pPr>
              <w:spacing w:before="100"/>
              <w:jc w:val="right"/>
              <w:rPr>
                <w:color w:val="000000"/>
                <w:sz w:val="20"/>
              </w:rPr>
            </w:pPr>
            <w:r>
              <w:rPr>
                <w:color w:val="000000"/>
                <w:sz w:val="20"/>
              </w:rPr>
              <w:t>10,800,000.00</w:t>
            </w:r>
          </w:p>
        </w:tc>
      </w:tr>
    </w:tbl>
    <w:p w14:paraId="02A0BF89" w14:textId="77777777" w:rsidR="00A77B3E" w:rsidRDefault="00A77B3E">
      <w:pPr>
        <w:spacing w:before="100"/>
        <w:rPr>
          <w:color w:val="000000"/>
          <w:sz w:val="20"/>
        </w:rPr>
      </w:pPr>
    </w:p>
    <w:p w14:paraId="6BE0A0B7" w14:textId="77777777" w:rsidR="00A77B3E" w:rsidRDefault="00000000">
      <w:pPr>
        <w:pStyle w:val="Heading5"/>
        <w:spacing w:before="100" w:after="0"/>
        <w:rPr>
          <w:b w:val="0"/>
          <w:i w:val="0"/>
          <w:color w:val="000000"/>
          <w:sz w:val="24"/>
        </w:rPr>
      </w:pPr>
      <w:bookmarkStart w:id="108" w:name="_Toc256000265"/>
      <w:r>
        <w:rPr>
          <w:b w:val="0"/>
          <w:i w:val="0"/>
          <w:color w:val="000000"/>
          <w:sz w:val="24"/>
        </w:rPr>
        <w:t>Table 6: Dimension 3 – territorial delivery mechanism and territorial focus</w:t>
      </w:r>
      <w:bookmarkEnd w:id="108"/>
    </w:p>
    <w:p w14:paraId="2382844C"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2422"/>
        <w:gridCol w:w="982"/>
        <w:gridCol w:w="2534"/>
        <w:gridCol w:w="5985"/>
        <w:gridCol w:w="2111"/>
      </w:tblGrid>
      <w:tr w:rsidR="00B82D50" w14:paraId="0B2354B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1A0CBB"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6759D2"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ED98BD"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09877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9FB7ED"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5FE00E" w14:textId="77777777" w:rsidR="00A77B3E" w:rsidRDefault="00000000">
            <w:pPr>
              <w:spacing w:before="100"/>
              <w:jc w:val="center"/>
              <w:rPr>
                <w:color w:val="000000"/>
                <w:sz w:val="20"/>
              </w:rPr>
            </w:pPr>
            <w:r>
              <w:rPr>
                <w:color w:val="000000"/>
                <w:sz w:val="20"/>
              </w:rPr>
              <w:t>Amount (EUR)</w:t>
            </w:r>
          </w:p>
        </w:tc>
      </w:tr>
      <w:tr w:rsidR="00B82D50" w14:paraId="0DABBE0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761CAA"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368F54"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258718"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BC8E0B"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A20C3E" w14:textId="77777777" w:rsidR="00A77B3E" w:rsidRDefault="00000000">
            <w:pPr>
              <w:spacing w:before="100"/>
              <w:rPr>
                <w:color w:val="000000"/>
                <w:sz w:val="20"/>
              </w:rPr>
            </w:pPr>
            <w:r>
              <w:rPr>
                <w:color w:val="000000"/>
                <w:sz w:val="20"/>
              </w:rPr>
              <w:t>33. Other  approaches - No territorial targeting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BC94F7" w14:textId="77777777" w:rsidR="00A77B3E" w:rsidRDefault="00000000">
            <w:pPr>
              <w:spacing w:before="100"/>
              <w:jc w:val="right"/>
              <w:rPr>
                <w:color w:val="000000"/>
                <w:sz w:val="20"/>
              </w:rPr>
            </w:pPr>
            <w:r>
              <w:rPr>
                <w:color w:val="000000"/>
                <w:sz w:val="20"/>
              </w:rPr>
              <w:t>10,800,000.00</w:t>
            </w:r>
          </w:p>
        </w:tc>
      </w:tr>
      <w:tr w:rsidR="00B82D50" w14:paraId="0139EB7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A67EA5"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5540D4"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A4EA66"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C0F550"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8FE8FC"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E9ED1B" w14:textId="77777777" w:rsidR="00A77B3E" w:rsidRDefault="00000000">
            <w:pPr>
              <w:spacing w:before="100"/>
              <w:jc w:val="right"/>
              <w:rPr>
                <w:color w:val="000000"/>
                <w:sz w:val="20"/>
              </w:rPr>
            </w:pPr>
            <w:r>
              <w:rPr>
                <w:color w:val="000000"/>
                <w:sz w:val="20"/>
              </w:rPr>
              <w:t>10,800,000.00</w:t>
            </w:r>
          </w:p>
        </w:tc>
      </w:tr>
    </w:tbl>
    <w:p w14:paraId="260B1916" w14:textId="77777777" w:rsidR="00A77B3E" w:rsidRDefault="00A77B3E">
      <w:pPr>
        <w:spacing w:before="100"/>
        <w:rPr>
          <w:color w:val="000000"/>
          <w:sz w:val="20"/>
        </w:rPr>
      </w:pPr>
    </w:p>
    <w:p w14:paraId="12CE2734" w14:textId="77777777" w:rsidR="00A77B3E" w:rsidRDefault="00000000">
      <w:pPr>
        <w:pStyle w:val="Heading5"/>
        <w:spacing w:before="100" w:after="0"/>
        <w:rPr>
          <w:b w:val="0"/>
          <w:i w:val="0"/>
          <w:color w:val="000000"/>
          <w:sz w:val="24"/>
        </w:rPr>
      </w:pPr>
      <w:bookmarkStart w:id="109" w:name="_Toc256000266"/>
      <w:r>
        <w:rPr>
          <w:b w:val="0"/>
          <w:i w:val="0"/>
          <w:color w:val="000000"/>
          <w:sz w:val="24"/>
        </w:rPr>
        <w:t>Table 7: Dimension 6 – ESF+ secondary themes</w:t>
      </w:r>
      <w:bookmarkEnd w:id="109"/>
    </w:p>
    <w:p w14:paraId="09C2BC7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3721"/>
        <w:gridCol w:w="1270"/>
        <w:gridCol w:w="3893"/>
        <w:gridCol w:w="1296"/>
        <w:gridCol w:w="3244"/>
      </w:tblGrid>
      <w:tr w:rsidR="00B82D50" w14:paraId="55417D02"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C3DBE9"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D832DB"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23B60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0B81DA"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814CB7"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68F9BD" w14:textId="77777777" w:rsidR="00A77B3E" w:rsidRDefault="00000000">
            <w:pPr>
              <w:spacing w:before="100"/>
              <w:jc w:val="center"/>
              <w:rPr>
                <w:color w:val="000000"/>
                <w:sz w:val="20"/>
              </w:rPr>
            </w:pPr>
            <w:r>
              <w:rPr>
                <w:color w:val="000000"/>
                <w:sz w:val="20"/>
              </w:rPr>
              <w:t>Amount (EUR)</w:t>
            </w:r>
          </w:p>
        </w:tc>
      </w:tr>
    </w:tbl>
    <w:p w14:paraId="4C659C27" w14:textId="77777777" w:rsidR="00A77B3E" w:rsidRDefault="00A77B3E">
      <w:pPr>
        <w:spacing w:before="100"/>
        <w:rPr>
          <w:color w:val="000000"/>
          <w:sz w:val="20"/>
        </w:rPr>
      </w:pPr>
    </w:p>
    <w:p w14:paraId="7124699E" w14:textId="77777777" w:rsidR="00A77B3E" w:rsidRDefault="00000000">
      <w:pPr>
        <w:pStyle w:val="Heading5"/>
        <w:spacing w:before="100" w:after="0"/>
        <w:rPr>
          <w:b w:val="0"/>
          <w:i w:val="0"/>
          <w:color w:val="000000"/>
          <w:sz w:val="24"/>
        </w:rPr>
      </w:pPr>
      <w:bookmarkStart w:id="110" w:name="_Toc256000267"/>
      <w:r>
        <w:rPr>
          <w:b w:val="0"/>
          <w:i w:val="0"/>
          <w:color w:val="000000"/>
          <w:sz w:val="24"/>
        </w:rPr>
        <w:t>Table 8: Dimension 7 – ESF+*, ERDF, Cohesion Fund and JTF gender equality dimension</w:t>
      </w:r>
      <w:bookmarkEnd w:id="110"/>
    </w:p>
    <w:p w14:paraId="1CF4D05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2898"/>
        <w:gridCol w:w="1175"/>
        <w:gridCol w:w="3032"/>
        <w:gridCol w:w="4179"/>
        <w:gridCol w:w="2526"/>
      </w:tblGrid>
      <w:tr w:rsidR="00B82D50" w14:paraId="6D41767F"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E9F392" w14:textId="77777777" w:rsidR="00A77B3E" w:rsidRDefault="00000000">
            <w:pPr>
              <w:spacing w:before="100"/>
              <w:jc w:val="center"/>
              <w:rPr>
                <w:color w:val="000000"/>
                <w:sz w:val="20"/>
              </w:rPr>
            </w:pPr>
            <w:r>
              <w:rPr>
                <w:color w:val="000000"/>
                <w:sz w:val="20"/>
              </w:rPr>
              <w:t>Priority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3210F1" w14:textId="77777777" w:rsidR="00A77B3E" w:rsidRDefault="00000000">
            <w:pPr>
              <w:spacing w:before="100"/>
              <w:jc w:val="center"/>
              <w:rPr>
                <w:color w:val="000000"/>
                <w:sz w:val="20"/>
              </w:rPr>
            </w:pPr>
            <w:r>
              <w:rPr>
                <w:color w:val="000000"/>
                <w:sz w:val="20"/>
              </w:rPr>
              <w:t>Specific 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C0AC6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A3478F"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FFD05C0" w14:textId="77777777" w:rsidR="00A77B3E" w:rsidRDefault="00000000">
            <w:pPr>
              <w:spacing w:before="100"/>
              <w:jc w:val="center"/>
              <w:rPr>
                <w:color w:val="000000"/>
                <w:sz w:val="20"/>
              </w:rPr>
            </w:pPr>
            <w:r>
              <w:rPr>
                <w:color w:val="000000"/>
                <w:sz w:val="20"/>
              </w:rPr>
              <w:t>Code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D2778E" w14:textId="77777777" w:rsidR="00A77B3E" w:rsidRDefault="00000000">
            <w:pPr>
              <w:spacing w:before="100"/>
              <w:jc w:val="center"/>
              <w:rPr>
                <w:color w:val="000000"/>
                <w:sz w:val="20"/>
              </w:rPr>
            </w:pPr>
            <w:r>
              <w:rPr>
                <w:color w:val="000000"/>
                <w:sz w:val="20"/>
              </w:rPr>
              <w:t>Amount (EUR)</w:t>
            </w:r>
          </w:p>
        </w:tc>
      </w:tr>
      <w:tr w:rsidR="00B82D50" w14:paraId="416DFC7A"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BE645"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6D898E"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42F808" w14:textId="77777777" w:rsidR="00A77B3E" w:rsidRDefault="00000000">
            <w:pPr>
              <w:spacing w:before="100"/>
              <w:rPr>
                <w:color w:val="000000"/>
                <w:sz w:val="20"/>
              </w:rPr>
            </w:pPr>
            <w:r>
              <w:rPr>
                <w:color w:val="000000"/>
                <w:sz w:val="20"/>
              </w:rPr>
              <w:t>ERDF</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236E0" w14:textId="77777777" w:rsidR="00A77B3E" w:rsidRDefault="00000000">
            <w:pPr>
              <w:spacing w:before="100"/>
              <w:rPr>
                <w:color w:val="000000"/>
                <w:sz w:val="20"/>
              </w:rPr>
            </w:pPr>
            <w:r>
              <w:rPr>
                <w:color w:val="000000"/>
                <w:sz w:val="20"/>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7025C2" w14:textId="77777777" w:rsidR="00A77B3E" w:rsidRDefault="00000000">
            <w:pPr>
              <w:spacing w:before="100"/>
              <w:rPr>
                <w:color w:val="000000"/>
                <w:sz w:val="20"/>
              </w:rPr>
            </w:pPr>
            <w:r>
              <w:rPr>
                <w:color w:val="000000"/>
                <w:sz w:val="20"/>
              </w:rPr>
              <w:t>02. Gender mainstreaming</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658361" w14:textId="77777777" w:rsidR="00A77B3E" w:rsidRDefault="00000000">
            <w:pPr>
              <w:spacing w:before="100"/>
              <w:jc w:val="right"/>
              <w:rPr>
                <w:color w:val="000000"/>
                <w:sz w:val="20"/>
              </w:rPr>
            </w:pPr>
            <w:r>
              <w:rPr>
                <w:color w:val="000000"/>
                <w:sz w:val="20"/>
              </w:rPr>
              <w:t>10,800,000.00</w:t>
            </w:r>
          </w:p>
        </w:tc>
      </w:tr>
      <w:tr w:rsidR="00B82D50" w14:paraId="49CF46CC"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7B9ECD" w14:textId="77777777" w:rsidR="00A77B3E" w:rsidRDefault="00000000">
            <w:pPr>
              <w:spacing w:before="100"/>
              <w:rPr>
                <w:color w:val="000000"/>
                <w:sz w:val="20"/>
              </w:rPr>
            </w:pPr>
            <w:r>
              <w:rPr>
                <w:color w:val="000000"/>
                <w:sz w:val="20"/>
              </w:rPr>
              <w:t>SEM5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87E714" w14:textId="77777777" w:rsidR="00A77B3E" w:rsidRDefault="00000000">
            <w:pPr>
              <w:spacing w:before="100"/>
              <w:rPr>
                <w:color w:val="000000"/>
                <w:sz w:val="20"/>
              </w:rPr>
            </w:pPr>
            <w:r>
              <w:rPr>
                <w:color w:val="000000"/>
                <w:sz w:val="20"/>
              </w:rPr>
              <w:t>RSO1.6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B8C47C" w14:textId="77777777" w:rsidR="00A77B3E" w:rsidRDefault="00000000">
            <w:pPr>
              <w:spacing w:before="100"/>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5670D5"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E338687"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BCC49B" w14:textId="77777777" w:rsidR="00A77B3E" w:rsidRDefault="00000000">
            <w:pPr>
              <w:spacing w:before="100"/>
              <w:jc w:val="right"/>
              <w:rPr>
                <w:color w:val="000000"/>
                <w:sz w:val="20"/>
              </w:rPr>
            </w:pPr>
            <w:r>
              <w:rPr>
                <w:color w:val="000000"/>
                <w:sz w:val="20"/>
              </w:rPr>
              <w:t>10,800,000.00</w:t>
            </w:r>
          </w:p>
        </w:tc>
      </w:tr>
    </w:tbl>
    <w:p w14:paraId="2FDBEDCE" w14:textId="77777777" w:rsidR="00A77B3E" w:rsidRDefault="00000000">
      <w:pPr>
        <w:spacing w:before="100"/>
        <w:rPr>
          <w:color w:val="000000"/>
          <w:sz w:val="20"/>
        </w:rPr>
      </w:pPr>
      <w:r>
        <w:rPr>
          <w:color w:val="000000"/>
          <w:sz w:val="20"/>
        </w:rPr>
        <w:t>* In principle, 40 % for the ESF+ contributes to gender tracking. 100 % is applicable when Member State chooses to use Article 6 ESF+</w:t>
      </w:r>
    </w:p>
    <w:p w14:paraId="233ECEAE" w14:textId="77777777" w:rsidR="00A77B3E" w:rsidRDefault="00A77B3E">
      <w:pPr>
        <w:spacing w:before="100"/>
        <w:rPr>
          <w:color w:val="000000"/>
          <w:sz w:val="20"/>
        </w:rPr>
      </w:pPr>
    </w:p>
    <w:p w14:paraId="3B8BB0B1" w14:textId="77777777" w:rsidR="00A77B3E" w:rsidRDefault="00000000">
      <w:pPr>
        <w:pStyle w:val="Heading2"/>
        <w:spacing w:before="100" w:after="0"/>
        <w:rPr>
          <w:rFonts w:ascii="Times New Roman" w:hAnsi="Times New Roman" w:cs="Times New Roman"/>
          <w:b w:val="0"/>
          <w:i w:val="0"/>
          <w:color w:val="000000"/>
          <w:sz w:val="24"/>
        </w:rPr>
      </w:pPr>
      <w:r>
        <w:rPr>
          <w:rFonts w:ascii="Times New Roman" w:hAnsi="Times New Roman" w:cs="Times New Roman"/>
          <w:b w:val="0"/>
          <w:i w:val="0"/>
          <w:color w:val="000000"/>
          <w:sz w:val="20"/>
        </w:rPr>
        <w:br w:type="page"/>
      </w:r>
      <w:bookmarkStart w:id="111" w:name="_Toc256000268"/>
      <w:r>
        <w:rPr>
          <w:rFonts w:ascii="Times New Roman" w:hAnsi="Times New Roman" w:cs="Times New Roman"/>
          <w:b w:val="0"/>
          <w:i w:val="0"/>
          <w:color w:val="000000"/>
          <w:sz w:val="24"/>
        </w:rPr>
        <w:lastRenderedPageBreak/>
        <w:t>2.2. Technical assistance priorities</w:t>
      </w:r>
      <w:bookmarkEnd w:id="111"/>
    </w:p>
    <w:p w14:paraId="79065B14" w14:textId="77777777" w:rsidR="00A77B3E" w:rsidRDefault="00A77B3E">
      <w:pPr>
        <w:spacing w:before="100"/>
        <w:rPr>
          <w:color w:val="000000"/>
          <w:sz w:val="0"/>
        </w:rPr>
      </w:pPr>
    </w:p>
    <w:p w14:paraId="03E0F3DF" w14:textId="77777777" w:rsidR="00A77B3E" w:rsidRDefault="00A77B3E">
      <w:pPr>
        <w:spacing w:before="100"/>
        <w:rPr>
          <w:color w:val="000000"/>
        </w:rPr>
        <w:sectPr w:rsidR="00A77B3E">
          <w:headerReference w:type="even" r:id="rId19"/>
          <w:headerReference w:type="default" r:id="rId20"/>
          <w:footerReference w:type="even" r:id="rId21"/>
          <w:footerReference w:type="default" r:id="rId22"/>
          <w:headerReference w:type="first" r:id="rId23"/>
          <w:footerReference w:type="first" r:id="rId24"/>
          <w:pgSz w:w="16838" w:h="11906" w:orient="landscape"/>
          <w:pgMar w:top="720" w:right="720" w:bottom="864" w:left="936" w:header="288" w:footer="72" w:gutter="0"/>
          <w:cols w:space="708"/>
          <w:noEndnote/>
          <w:docGrid w:linePitch="360"/>
        </w:sectPr>
      </w:pPr>
    </w:p>
    <w:p w14:paraId="67F8712D" w14:textId="77777777" w:rsidR="00A77B3E" w:rsidRDefault="00000000">
      <w:pPr>
        <w:pStyle w:val="Heading1"/>
        <w:spacing w:before="100" w:after="0"/>
        <w:rPr>
          <w:rFonts w:ascii="Times New Roman" w:hAnsi="Times New Roman" w:cs="Times New Roman"/>
          <w:b w:val="0"/>
          <w:color w:val="000000"/>
          <w:sz w:val="24"/>
        </w:rPr>
      </w:pPr>
      <w:bookmarkStart w:id="112" w:name="_Toc256000269"/>
      <w:r>
        <w:rPr>
          <w:rFonts w:ascii="Times New Roman" w:hAnsi="Times New Roman" w:cs="Times New Roman"/>
          <w:b w:val="0"/>
          <w:color w:val="000000"/>
          <w:sz w:val="24"/>
        </w:rPr>
        <w:lastRenderedPageBreak/>
        <w:t>3. Financing plan</w:t>
      </w:r>
      <w:bookmarkEnd w:id="112"/>
    </w:p>
    <w:p w14:paraId="411AA9E8" w14:textId="77777777" w:rsidR="00A77B3E" w:rsidRDefault="00000000">
      <w:pPr>
        <w:spacing w:before="100"/>
        <w:rPr>
          <w:color w:val="000000"/>
        </w:rPr>
      </w:pPr>
      <w:r>
        <w:rPr>
          <w:color w:val="000000"/>
        </w:rPr>
        <w:t>Reference: points (g)(</w:t>
      </w:r>
      <w:proofErr w:type="spellStart"/>
      <w:r>
        <w:rPr>
          <w:color w:val="000000"/>
        </w:rPr>
        <w:t>i</w:t>
      </w:r>
      <w:proofErr w:type="spellEnd"/>
      <w:r>
        <w:rPr>
          <w:color w:val="000000"/>
        </w:rPr>
        <w:t xml:space="preserve">), (ii) and (iii) of Article 22(3), Article 112(1), (2) and (3), and Articles 14, 26 and 26a CPR </w:t>
      </w:r>
    </w:p>
    <w:p w14:paraId="36F50BF6" w14:textId="77777777" w:rsidR="00A77B3E" w:rsidRDefault="00000000">
      <w:pPr>
        <w:pStyle w:val="Heading2"/>
        <w:spacing w:before="100" w:after="0"/>
        <w:rPr>
          <w:rFonts w:ascii="Times New Roman" w:hAnsi="Times New Roman" w:cs="Times New Roman"/>
          <w:b w:val="0"/>
          <w:i w:val="0"/>
          <w:color w:val="000000"/>
          <w:sz w:val="24"/>
        </w:rPr>
      </w:pPr>
      <w:bookmarkStart w:id="113" w:name="_Toc256000270"/>
      <w:r>
        <w:rPr>
          <w:rFonts w:ascii="Times New Roman" w:hAnsi="Times New Roman" w:cs="Times New Roman"/>
          <w:b w:val="0"/>
          <w:i w:val="0"/>
          <w:color w:val="000000"/>
          <w:sz w:val="24"/>
        </w:rPr>
        <w:t>3.1. Transfers and contributions (1)</w:t>
      </w:r>
      <w:bookmarkEnd w:id="113"/>
    </w:p>
    <w:p w14:paraId="71D8BEAC" w14:textId="77777777" w:rsidR="00A77B3E" w:rsidRDefault="00A77B3E">
      <w:pPr>
        <w:spacing w:before="100"/>
        <w:rPr>
          <w:color w:val="000000"/>
          <w:sz w:val="0"/>
        </w:rPr>
      </w:pPr>
    </w:p>
    <w:p w14:paraId="2317B250" w14:textId="77777777" w:rsidR="00A77B3E" w:rsidRDefault="00000000">
      <w:pPr>
        <w:spacing w:before="100"/>
        <w:rPr>
          <w:color w:val="000000"/>
          <w:sz w:val="16"/>
        </w:rPr>
      </w:pPr>
      <w:r>
        <w:rPr>
          <w:color w:val="000000"/>
        </w:rPr>
        <w:t>Reference: Articles 14, 26, 26a and 27 CPR</w:t>
      </w:r>
    </w:p>
    <w:p w14:paraId="5F207B35" w14:textId="77777777" w:rsidR="00A77B3E" w:rsidRDefault="00A77B3E">
      <w:pPr>
        <w:spacing w:before="100"/>
        <w:rPr>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11121"/>
      </w:tblGrid>
      <w:tr w:rsidR="00B82D50" w14:paraId="2E4168C7" w14:textId="77777777">
        <w:trPr>
          <w:trHeight w:val="16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23796A" w14:textId="77777777" w:rsidR="00A77B3E" w:rsidRDefault="00000000">
            <w:pPr>
              <w:spacing w:before="100"/>
              <w:rPr>
                <w:color w:val="000000"/>
              </w:rPr>
            </w:pPr>
            <w:r>
              <w:rPr>
                <w:color w:val="000000"/>
              </w:rPr>
              <w:t>Programme amendment related to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F5DD8D" w14:textId="77777777" w:rsidR="00A77B3E" w:rsidRDefault="00000000">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contribution to </w:t>
            </w:r>
            <w:proofErr w:type="spellStart"/>
            <w:r>
              <w:rPr>
                <w:color w:val="000000"/>
              </w:rPr>
              <w:t>InvestEU</w:t>
            </w:r>
            <w:proofErr w:type="spellEnd"/>
          </w:p>
        </w:tc>
      </w:tr>
      <w:tr w:rsidR="00B82D50" w14:paraId="5227FD28"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5D6C31" w14:textId="77777777" w:rsidR="00A77B3E" w:rsidRDefault="00A77B3E">
            <w:pPr>
              <w:spacing w:before="100"/>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0C5BBC" w14:textId="77777777" w:rsidR="00A77B3E" w:rsidRDefault="00000000">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transfer to instruments under direct or indirect management</w:t>
            </w:r>
          </w:p>
        </w:tc>
      </w:tr>
      <w:tr w:rsidR="00B82D50" w14:paraId="33A5889D"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27DAC5" w14:textId="77777777" w:rsidR="00A77B3E" w:rsidRDefault="00A77B3E">
            <w:pPr>
              <w:spacing w:before="100"/>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00AACF" w14:textId="77777777" w:rsidR="00A77B3E" w:rsidRDefault="00000000">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transfer between ERDF, ESF+, Cohesion Fund or to another Fund or Funds</w:t>
            </w:r>
          </w:p>
        </w:tc>
      </w:tr>
      <w:tr w:rsidR="00B82D50" w14:paraId="3E490EC5" w14:textId="77777777">
        <w:trPr>
          <w:trHeight w:val="160"/>
        </w:trPr>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76B876" w14:textId="77777777" w:rsidR="00A77B3E" w:rsidRDefault="00A77B3E">
            <w:pPr>
              <w:spacing w:before="100"/>
              <w:rPr>
                <w:color w:val="00000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8F875F" w14:textId="77777777" w:rsidR="00A77B3E" w:rsidRDefault="00000000">
            <w:pPr>
              <w:spacing w:before="100"/>
              <w:rPr>
                <w:color w:val="000000"/>
              </w:rPr>
            </w:pPr>
            <w:r>
              <w:rPr>
                <w:color w:val="000000"/>
              </w:rPr>
              <w:t xml:space="preserve">   </w:t>
            </w:r>
            <w:r>
              <w:rPr>
                <w:color w:val="000000"/>
              </w:rPr>
              <w:fldChar w:fldCharType="begin">
                <w:ffData>
                  <w:name w:val=""/>
                  <w:enabled/>
                  <w:calcOnExit w:val="0"/>
                  <w:checkBox>
                    <w:size w:val="20"/>
                    <w:default w:val="0"/>
                    <w:checked w:val="0"/>
                  </w:checkBox>
                </w:ffData>
              </w:fldChar>
            </w:r>
            <w:r>
              <w:rPr>
                <w:color w:val="000000"/>
              </w:rPr>
              <w:instrText xml:space="preserve"> FORMCHECKBOX </w:instrText>
            </w:r>
            <w:r>
              <w:rPr>
                <w:color w:val="000000"/>
              </w:rPr>
            </w:r>
            <w:r>
              <w:rPr>
                <w:color w:val="000000"/>
              </w:rPr>
              <w:fldChar w:fldCharType="separate"/>
            </w:r>
            <w:r>
              <w:rPr>
                <w:color w:val="000000"/>
              </w:rPr>
              <w:fldChar w:fldCharType="end"/>
            </w:r>
            <w:r>
              <w:rPr>
                <w:color w:val="000000"/>
              </w:rPr>
              <w:t xml:space="preserve"> Funds contributing to the objectives set out in Article 21c(3) of Regulation (EU) 2021/241</w:t>
            </w:r>
          </w:p>
        </w:tc>
      </w:tr>
    </w:tbl>
    <w:p w14:paraId="13C86B71" w14:textId="77777777" w:rsidR="00A77B3E" w:rsidRDefault="00000000">
      <w:pPr>
        <w:spacing w:before="100"/>
        <w:rPr>
          <w:color w:val="000000"/>
        </w:rPr>
      </w:pPr>
      <w:r>
        <w:rPr>
          <w:color w:val="000000"/>
        </w:rPr>
        <w:t xml:space="preserve">(1) Applicable only to </w:t>
      </w:r>
      <w:proofErr w:type="spellStart"/>
      <w:r>
        <w:rPr>
          <w:color w:val="000000"/>
        </w:rPr>
        <w:t>programme</w:t>
      </w:r>
      <w:proofErr w:type="spellEnd"/>
      <w:r>
        <w:rPr>
          <w:color w:val="000000"/>
        </w:rPr>
        <w:t xml:space="preserve"> amendments in accordance with Articles 14, 26 and 26a, except complementary transfers to the JTF in accordance with Article 27 CPR. Transfers shall not affect the annual breakdown of financial appropriations at the MFF level for a Member State. </w:t>
      </w:r>
    </w:p>
    <w:p w14:paraId="0ACE99A8" w14:textId="77777777" w:rsidR="00A77B3E" w:rsidRDefault="00A77B3E">
      <w:pPr>
        <w:spacing w:before="100"/>
        <w:rPr>
          <w:color w:val="000000"/>
        </w:rPr>
      </w:pPr>
    </w:p>
    <w:p w14:paraId="32E98013" w14:textId="77777777" w:rsidR="00A77B3E" w:rsidRDefault="00A77B3E">
      <w:pPr>
        <w:spacing w:before="100"/>
        <w:rPr>
          <w:color w:val="000000"/>
        </w:rPr>
      </w:pPr>
    </w:p>
    <w:p w14:paraId="42E31BAA" w14:textId="77777777" w:rsidR="00A77B3E" w:rsidRDefault="00000000">
      <w:pPr>
        <w:pStyle w:val="Heading4"/>
        <w:spacing w:before="100" w:after="0"/>
        <w:rPr>
          <w:b w:val="0"/>
          <w:color w:val="000000"/>
          <w:sz w:val="24"/>
        </w:rPr>
      </w:pPr>
      <w:bookmarkStart w:id="114" w:name="_Toc256000271"/>
      <w:r>
        <w:rPr>
          <w:b w:val="0"/>
          <w:color w:val="000000"/>
          <w:sz w:val="24"/>
        </w:rPr>
        <w:t xml:space="preserve">Table 15A: Contributions to </w:t>
      </w:r>
      <w:proofErr w:type="spellStart"/>
      <w:r>
        <w:rPr>
          <w:b w:val="0"/>
          <w:color w:val="000000"/>
          <w:sz w:val="24"/>
        </w:rPr>
        <w:t>InvestEU</w:t>
      </w:r>
      <w:proofErr w:type="spellEnd"/>
      <w:r>
        <w:rPr>
          <w:b w:val="0"/>
          <w:color w:val="000000"/>
          <w:sz w:val="24"/>
        </w:rPr>
        <w:t>* (breakdown by year)</w:t>
      </w:r>
      <w:bookmarkEnd w:id="1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3125"/>
        <w:gridCol w:w="3008"/>
        <w:gridCol w:w="997"/>
        <w:gridCol w:w="997"/>
        <w:gridCol w:w="997"/>
        <w:gridCol w:w="997"/>
        <w:gridCol w:w="997"/>
        <w:gridCol w:w="997"/>
        <w:gridCol w:w="997"/>
        <w:gridCol w:w="1041"/>
      </w:tblGrid>
      <w:tr w:rsidR="00B82D50" w14:paraId="3278102A" w14:textId="77777777">
        <w:trPr>
          <w:tblHead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A91C88" w14:textId="77777777" w:rsidR="00A77B3E" w:rsidRDefault="00000000">
            <w:pPr>
              <w:spacing w:before="100"/>
              <w:jc w:val="center"/>
              <w:rPr>
                <w:color w:val="000000"/>
                <w:sz w:val="20"/>
              </w:rPr>
            </w:pPr>
            <w:r>
              <w:rPr>
                <w:color w:val="000000"/>
                <w:sz w:val="20"/>
              </w:rPr>
              <w:t>Contribution from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B843BA" w14:textId="77777777" w:rsidR="00A77B3E" w:rsidRDefault="00000000">
            <w:pPr>
              <w:spacing w:before="100"/>
              <w:jc w:val="center"/>
              <w:rPr>
                <w:color w:val="000000"/>
                <w:sz w:val="20"/>
              </w:rPr>
            </w:pPr>
            <w:r>
              <w:rPr>
                <w:color w:val="000000"/>
                <w:sz w:val="20"/>
              </w:rPr>
              <w:t>Contribution to</w:t>
            </w:r>
          </w:p>
        </w:tc>
        <w:tc>
          <w:tcPr>
            <w:tcW w:w="0" w:type="auto"/>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0B2ADB" w14:textId="77777777" w:rsidR="00A77B3E" w:rsidRDefault="00000000">
            <w:pPr>
              <w:spacing w:before="100"/>
              <w:jc w:val="center"/>
              <w:rPr>
                <w:color w:val="000000"/>
                <w:sz w:val="20"/>
              </w:rPr>
            </w:pPr>
            <w:r>
              <w:rPr>
                <w:color w:val="000000"/>
                <w:sz w:val="20"/>
              </w:rPr>
              <w:t>Breakdown by year</w:t>
            </w:r>
          </w:p>
        </w:tc>
      </w:tr>
      <w:tr w:rsidR="00B82D50" w14:paraId="428A2CFF"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10F7B8"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FC2D39"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5FECAC" w14:textId="77777777" w:rsidR="00A77B3E" w:rsidRDefault="00000000">
            <w:pPr>
              <w:spacing w:before="100"/>
              <w:jc w:val="center"/>
              <w:rPr>
                <w:color w:val="000000"/>
                <w:sz w:val="20"/>
              </w:rPr>
            </w:pPr>
            <w:proofErr w:type="spellStart"/>
            <w:r>
              <w:rPr>
                <w:color w:val="000000"/>
                <w:sz w:val="20"/>
              </w:rPr>
              <w:t>InvestEU</w:t>
            </w:r>
            <w:proofErr w:type="spellEnd"/>
            <w:r>
              <w:rPr>
                <w:color w:val="000000"/>
                <w:sz w:val="20"/>
              </w:rPr>
              <w:t xml:space="preserve"> window</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078430"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66E91A" w14:textId="77777777" w:rsidR="00A77B3E" w:rsidRDefault="00000000">
            <w:pPr>
              <w:spacing w:before="100"/>
              <w:jc w:val="center"/>
              <w:rPr>
                <w:color w:val="000000"/>
                <w:sz w:val="20"/>
              </w:rPr>
            </w:pPr>
            <w:r>
              <w:rPr>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093EBF" w14:textId="77777777" w:rsidR="00A77B3E" w:rsidRDefault="00000000">
            <w:pPr>
              <w:spacing w:before="100"/>
              <w:jc w:val="center"/>
              <w:rPr>
                <w:color w:val="000000"/>
                <w:sz w:val="20"/>
              </w:rPr>
            </w:pPr>
            <w:r>
              <w:rPr>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B8F6FD" w14:textId="77777777" w:rsidR="00A77B3E" w:rsidRDefault="00000000">
            <w:pPr>
              <w:spacing w:before="100"/>
              <w:jc w:val="center"/>
              <w:rPr>
                <w:color w:val="000000"/>
                <w:sz w:val="20"/>
              </w:rPr>
            </w:pPr>
            <w:r>
              <w:rPr>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E7F3F7" w14:textId="77777777" w:rsidR="00A77B3E" w:rsidRDefault="00000000">
            <w:pPr>
              <w:spacing w:before="100"/>
              <w:jc w:val="center"/>
              <w:rPr>
                <w:color w:val="000000"/>
                <w:sz w:val="20"/>
              </w:rPr>
            </w:pPr>
            <w:r>
              <w:rPr>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874372" w14:textId="77777777" w:rsidR="00A77B3E" w:rsidRDefault="00000000">
            <w:pPr>
              <w:spacing w:before="100"/>
              <w:jc w:val="center"/>
              <w:rPr>
                <w:color w:val="000000"/>
                <w:sz w:val="20"/>
              </w:rPr>
            </w:pPr>
            <w:r>
              <w:rPr>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33116E" w14:textId="77777777" w:rsidR="00A77B3E" w:rsidRDefault="00000000">
            <w:pPr>
              <w:spacing w:before="100"/>
              <w:jc w:val="center"/>
              <w:rPr>
                <w:color w:val="000000"/>
                <w:sz w:val="20"/>
              </w:rPr>
            </w:pPr>
            <w:r>
              <w:rPr>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307877" w14:textId="77777777" w:rsidR="00A77B3E" w:rsidRDefault="00000000">
            <w:pPr>
              <w:spacing w:before="100"/>
              <w:jc w:val="center"/>
              <w:rPr>
                <w:color w:val="000000"/>
                <w:sz w:val="16"/>
              </w:rPr>
            </w:pPr>
            <w:r>
              <w:rPr>
                <w:color w:val="000000"/>
                <w:sz w:val="20"/>
              </w:rPr>
              <w:t>Total</w:t>
            </w:r>
          </w:p>
        </w:tc>
      </w:tr>
    </w:tbl>
    <w:p w14:paraId="49ECFC37" w14:textId="77777777" w:rsidR="00A77B3E" w:rsidRDefault="00000000">
      <w:pPr>
        <w:spacing w:before="100"/>
        <w:rPr>
          <w:color w:val="000000"/>
          <w:sz w:val="20"/>
        </w:rPr>
      </w:pPr>
      <w:r>
        <w:rPr>
          <w:color w:val="000000"/>
          <w:sz w:val="20"/>
        </w:rPr>
        <w:t xml:space="preserve">* For each new request for contribution, a </w:t>
      </w:r>
      <w:proofErr w:type="spellStart"/>
      <w:r>
        <w:rPr>
          <w:color w:val="000000"/>
          <w:sz w:val="20"/>
        </w:rPr>
        <w:t>programme</w:t>
      </w:r>
      <w:proofErr w:type="spellEnd"/>
      <w:r>
        <w:rPr>
          <w:color w:val="000000"/>
          <w:sz w:val="20"/>
        </w:rPr>
        <w:t xml:space="preserve"> amendment shall set out the total amounts for each year by Fund and by category of region.</w:t>
      </w:r>
    </w:p>
    <w:p w14:paraId="2394B20F" w14:textId="77777777" w:rsidR="00A77B3E" w:rsidRDefault="00A77B3E">
      <w:pPr>
        <w:spacing w:before="100"/>
        <w:rPr>
          <w:color w:val="000000"/>
          <w:sz w:val="20"/>
        </w:rPr>
      </w:pPr>
    </w:p>
    <w:p w14:paraId="1A7FA864" w14:textId="77777777" w:rsidR="00A77B3E" w:rsidRDefault="00000000">
      <w:pPr>
        <w:pStyle w:val="Heading4"/>
        <w:spacing w:before="100" w:after="0"/>
        <w:rPr>
          <w:b w:val="0"/>
          <w:color w:val="000000"/>
          <w:sz w:val="24"/>
        </w:rPr>
      </w:pPr>
      <w:bookmarkStart w:id="115" w:name="_Toc256000272"/>
      <w:r>
        <w:rPr>
          <w:b w:val="0"/>
          <w:color w:val="000000"/>
          <w:sz w:val="24"/>
        </w:rPr>
        <w:t xml:space="preserve">Table 15B: Contributions to </w:t>
      </w:r>
      <w:proofErr w:type="spellStart"/>
      <w:r>
        <w:rPr>
          <w:b w:val="0"/>
          <w:color w:val="000000"/>
          <w:sz w:val="24"/>
        </w:rPr>
        <w:t>InvestEU</w:t>
      </w:r>
      <w:proofErr w:type="spellEnd"/>
      <w:r>
        <w:rPr>
          <w:b w:val="0"/>
          <w:color w:val="000000"/>
          <w:sz w:val="24"/>
        </w:rPr>
        <w:t>* (summary)</w:t>
      </w:r>
      <w:bookmarkEnd w:id="1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919"/>
        <w:gridCol w:w="2886"/>
        <w:gridCol w:w="3062"/>
        <w:gridCol w:w="946"/>
        <w:gridCol w:w="3161"/>
        <w:gridCol w:w="2560"/>
      </w:tblGrid>
      <w:tr w:rsidR="00B82D50" w14:paraId="1F8BEC1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E6BCDFC"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CA0539"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376340" w14:textId="77777777" w:rsidR="00A77B3E" w:rsidRDefault="00000000">
            <w:pPr>
              <w:spacing w:before="100"/>
              <w:jc w:val="center"/>
              <w:rPr>
                <w:color w:val="000000"/>
                <w:sz w:val="20"/>
              </w:rPr>
            </w:pPr>
            <w:r>
              <w:rPr>
                <w:color w:val="000000"/>
                <w:sz w:val="20"/>
              </w:rPr>
              <w:t>Sustainable Infrastructure (a)</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E77EB7" w14:textId="77777777" w:rsidR="00A77B3E" w:rsidRDefault="00000000">
            <w:pPr>
              <w:spacing w:before="100"/>
              <w:jc w:val="center"/>
              <w:rPr>
                <w:color w:val="000000"/>
                <w:sz w:val="20"/>
              </w:rPr>
            </w:pPr>
            <w:r>
              <w:rPr>
                <w:color w:val="000000"/>
                <w:sz w:val="20"/>
              </w:rPr>
              <w:t xml:space="preserve">Innovation and </w:t>
            </w:r>
            <w:proofErr w:type="spellStart"/>
            <w:r>
              <w:rPr>
                <w:color w:val="000000"/>
                <w:sz w:val="20"/>
              </w:rPr>
              <w:t>Digitisation</w:t>
            </w:r>
            <w:proofErr w:type="spellEnd"/>
            <w:r>
              <w:rPr>
                <w:color w:val="000000"/>
                <w:sz w:val="20"/>
              </w:rPr>
              <w:t xml:space="preserve"> (b)</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F5250C" w14:textId="77777777" w:rsidR="00A77B3E" w:rsidRDefault="00000000">
            <w:pPr>
              <w:spacing w:before="100"/>
              <w:jc w:val="center"/>
              <w:rPr>
                <w:color w:val="000000"/>
                <w:sz w:val="20"/>
              </w:rPr>
            </w:pPr>
            <w:r>
              <w:rPr>
                <w:color w:val="000000"/>
                <w:sz w:val="20"/>
              </w:rPr>
              <w:t>SME (c)</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9B0CC8" w14:textId="77777777" w:rsidR="00A77B3E" w:rsidRDefault="00000000">
            <w:pPr>
              <w:spacing w:before="100"/>
              <w:jc w:val="center"/>
              <w:rPr>
                <w:color w:val="000000"/>
                <w:sz w:val="20"/>
              </w:rPr>
            </w:pPr>
            <w:r>
              <w:rPr>
                <w:color w:val="000000"/>
                <w:sz w:val="20"/>
              </w:rPr>
              <w:t>Social Investment and Skills (d)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46432D" w14:textId="77777777" w:rsidR="00A77B3E" w:rsidRDefault="00000000">
            <w:pPr>
              <w:spacing w:before="100"/>
              <w:jc w:val="center"/>
              <w:rPr>
                <w:color w:val="000000"/>
                <w:sz w:val="20"/>
              </w:rPr>
            </w:pPr>
            <w:r>
              <w:rPr>
                <w:color w:val="000000"/>
                <w:sz w:val="20"/>
              </w:rPr>
              <w:t>Total (e)=(a)+(b)+(c)+(d)</w:t>
            </w:r>
          </w:p>
        </w:tc>
      </w:tr>
      <w:tr w:rsidR="00B82D50" w14:paraId="67ABE3E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EDFB69" w14:textId="77777777" w:rsidR="00A77B3E" w:rsidRDefault="00000000">
            <w:pPr>
              <w:spacing w:before="100"/>
              <w:jc w:val="center"/>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D2D40C" w14:textId="77777777" w:rsidR="00A77B3E" w:rsidRDefault="00A77B3E">
            <w:pPr>
              <w:spacing w:before="100"/>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1D8F3A" w14:textId="77777777" w:rsidR="00A77B3E" w:rsidRDefault="00A77B3E">
            <w:pPr>
              <w:spacing w:before="10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0C66C2" w14:textId="77777777" w:rsidR="00A77B3E" w:rsidRDefault="00A77B3E">
            <w:pPr>
              <w:spacing w:before="10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CEED46" w14:textId="77777777" w:rsidR="00A77B3E" w:rsidRDefault="00A77B3E">
            <w:pPr>
              <w:spacing w:before="10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719D9A" w14:textId="77777777" w:rsidR="00A77B3E" w:rsidRDefault="00A77B3E">
            <w:pPr>
              <w:spacing w:before="100"/>
              <w:jc w:val="right"/>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B7EA7F" w14:textId="77777777" w:rsidR="00A77B3E" w:rsidRDefault="00A77B3E">
            <w:pPr>
              <w:spacing w:before="100"/>
              <w:jc w:val="right"/>
              <w:rPr>
                <w:color w:val="000000"/>
                <w:sz w:val="20"/>
              </w:rPr>
            </w:pPr>
          </w:p>
        </w:tc>
      </w:tr>
    </w:tbl>
    <w:p w14:paraId="4852DF9F" w14:textId="77777777" w:rsidR="00A77B3E" w:rsidRDefault="00000000">
      <w:pPr>
        <w:spacing w:before="100"/>
        <w:rPr>
          <w:color w:val="000000"/>
          <w:sz w:val="20"/>
        </w:rPr>
      </w:pPr>
      <w:r>
        <w:rPr>
          <w:color w:val="000000"/>
          <w:sz w:val="20"/>
        </w:rPr>
        <w:t xml:space="preserve">* Cumulative amounts for all contributions done through </w:t>
      </w:r>
      <w:proofErr w:type="spellStart"/>
      <w:r>
        <w:rPr>
          <w:color w:val="000000"/>
          <w:sz w:val="20"/>
        </w:rPr>
        <w:t>programme</w:t>
      </w:r>
      <w:proofErr w:type="spellEnd"/>
      <w:r>
        <w:rPr>
          <w:color w:val="000000"/>
          <w:sz w:val="20"/>
        </w:rPr>
        <w:t xml:space="preserve"> amendments during the programming period. With each new request for contribution, a </w:t>
      </w:r>
      <w:proofErr w:type="spellStart"/>
      <w:r>
        <w:rPr>
          <w:color w:val="000000"/>
          <w:sz w:val="20"/>
        </w:rPr>
        <w:t>programme</w:t>
      </w:r>
      <w:proofErr w:type="spellEnd"/>
      <w:r>
        <w:rPr>
          <w:color w:val="000000"/>
          <w:sz w:val="20"/>
        </w:rPr>
        <w:t xml:space="preserve"> amendment shall set out the total amounts for each year by Fund and by category of region.</w:t>
      </w:r>
    </w:p>
    <w:p w14:paraId="2E59B446" w14:textId="77777777" w:rsidR="00A77B3E" w:rsidRDefault="00A77B3E">
      <w:pPr>
        <w:spacing w:before="100"/>
        <w:rPr>
          <w:color w:val="000000"/>
          <w:sz w:val="20"/>
        </w:rPr>
      </w:pPr>
    </w:p>
    <w:p w14:paraId="4265AF48" w14:textId="77777777" w:rsidR="00A77B3E" w:rsidRDefault="00000000">
      <w:pPr>
        <w:pStyle w:val="Heading4"/>
        <w:spacing w:before="100" w:after="0"/>
        <w:rPr>
          <w:b w:val="0"/>
          <w:color w:val="000000"/>
          <w:sz w:val="24"/>
        </w:rPr>
      </w:pPr>
      <w:bookmarkStart w:id="116" w:name="_Toc256000273"/>
      <w:r>
        <w:rPr>
          <w:b w:val="0"/>
          <w:color w:val="000000"/>
          <w:sz w:val="24"/>
        </w:rPr>
        <w:t xml:space="preserve">Justification, taking into account how those amounts contribute to the achievement of policy objectives selected in the </w:t>
      </w:r>
      <w:proofErr w:type="spellStart"/>
      <w:r>
        <w:rPr>
          <w:b w:val="0"/>
          <w:color w:val="000000"/>
          <w:sz w:val="24"/>
        </w:rPr>
        <w:t>programme</w:t>
      </w:r>
      <w:proofErr w:type="spellEnd"/>
      <w:r>
        <w:rPr>
          <w:b w:val="0"/>
          <w:color w:val="000000"/>
          <w:sz w:val="24"/>
        </w:rPr>
        <w:t xml:space="preserve"> in accordance with Article 10(1) of the </w:t>
      </w:r>
      <w:proofErr w:type="spellStart"/>
      <w:r>
        <w:rPr>
          <w:b w:val="0"/>
          <w:color w:val="000000"/>
          <w:sz w:val="24"/>
        </w:rPr>
        <w:t>InvestEU</w:t>
      </w:r>
      <w:proofErr w:type="spellEnd"/>
      <w:r>
        <w:rPr>
          <w:b w:val="0"/>
          <w:color w:val="000000"/>
          <w:sz w:val="24"/>
        </w:rPr>
        <w:t xml:space="preserve"> Regulation</w:t>
      </w:r>
      <w:bookmarkEnd w:id="1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22A4AB82"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022C6E" w14:textId="77777777" w:rsidR="00A77B3E" w:rsidRDefault="00A77B3E">
            <w:pPr>
              <w:spacing w:before="100"/>
              <w:rPr>
                <w:color w:val="000000"/>
                <w:sz w:val="0"/>
              </w:rPr>
            </w:pPr>
          </w:p>
          <w:p w14:paraId="386F588B" w14:textId="77777777" w:rsidR="00A77B3E" w:rsidRDefault="00A77B3E">
            <w:pPr>
              <w:spacing w:before="100"/>
              <w:rPr>
                <w:color w:val="000000"/>
              </w:rPr>
            </w:pPr>
          </w:p>
        </w:tc>
      </w:tr>
    </w:tbl>
    <w:p w14:paraId="225459FE" w14:textId="77777777" w:rsidR="00A77B3E" w:rsidRDefault="00A77B3E">
      <w:pPr>
        <w:spacing w:before="100"/>
        <w:rPr>
          <w:color w:val="000000"/>
        </w:rPr>
      </w:pPr>
    </w:p>
    <w:p w14:paraId="190D2EDB" w14:textId="77777777" w:rsidR="00A77B3E" w:rsidRDefault="00A77B3E">
      <w:pPr>
        <w:spacing w:before="100"/>
        <w:rPr>
          <w:color w:val="000000"/>
          <w:sz w:val="0"/>
        </w:rPr>
      </w:pPr>
    </w:p>
    <w:p w14:paraId="29CB4946" w14:textId="77777777" w:rsidR="00A77B3E" w:rsidRDefault="00000000">
      <w:pPr>
        <w:pStyle w:val="Heading4"/>
        <w:spacing w:before="100" w:after="0"/>
        <w:rPr>
          <w:b w:val="0"/>
          <w:color w:val="000000"/>
          <w:sz w:val="24"/>
        </w:rPr>
      </w:pPr>
      <w:bookmarkStart w:id="117" w:name="_Toc256000274"/>
      <w:r>
        <w:rPr>
          <w:b w:val="0"/>
          <w:color w:val="000000"/>
          <w:sz w:val="24"/>
        </w:rPr>
        <w:t>Table 16A: Transfers to instruments under direct or indirect management (breakdown by year)</w:t>
      </w:r>
      <w:bookmarkEnd w:id="117"/>
    </w:p>
    <w:p w14:paraId="76C6C15E"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3333"/>
        <w:gridCol w:w="2208"/>
        <w:gridCol w:w="1062"/>
        <w:gridCol w:w="1062"/>
        <w:gridCol w:w="1062"/>
        <w:gridCol w:w="1062"/>
        <w:gridCol w:w="1062"/>
        <w:gridCol w:w="1062"/>
        <w:gridCol w:w="1062"/>
        <w:gridCol w:w="1109"/>
      </w:tblGrid>
      <w:tr w:rsidR="00B82D50" w14:paraId="61264A99" w14:textId="77777777">
        <w:trPr>
          <w:tblHead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F5232B" w14:textId="77777777" w:rsidR="00A77B3E" w:rsidRDefault="00000000">
            <w:pPr>
              <w:spacing w:before="100"/>
              <w:jc w:val="center"/>
              <w:rPr>
                <w:color w:val="000000"/>
                <w:sz w:val="20"/>
              </w:rPr>
            </w:pPr>
            <w:r>
              <w:rPr>
                <w:color w:val="000000"/>
                <w:sz w:val="20"/>
              </w:rPr>
              <w:t>Transfers from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52F160" w14:textId="77777777" w:rsidR="00A77B3E" w:rsidRDefault="00000000">
            <w:pPr>
              <w:spacing w:before="100"/>
              <w:jc w:val="center"/>
              <w:rPr>
                <w:color w:val="000000"/>
                <w:sz w:val="20"/>
              </w:rPr>
            </w:pPr>
            <w:r>
              <w:rPr>
                <w:color w:val="000000"/>
                <w:sz w:val="20"/>
              </w:rPr>
              <w:t>Transfers to</w:t>
            </w:r>
          </w:p>
        </w:tc>
        <w:tc>
          <w:tcPr>
            <w:tcW w:w="0" w:type="auto"/>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02D807" w14:textId="77777777" w:rsidR="00A77B3E" w:rsidRDefault="00000000">
            <w:pPr>
              <w:spacing w:before="100"/>
              <w:jc w:val="center"/>
              <w:rPr>
                <w:color w:val="000000"/>
                <w:sz w:val="20"/>
              </w:rPr>
            </w:pPr>
            <w:r>
              <w:rPr>
                <w:color w:val="000000"/>
                <w:sz w:val="20"/>
              </w:rPr>
              <w:t>Breakdown by year</w:t>
            </w:r>
          </w:p>
        </w:tc>
      </w:tr>
      <w:tr w:rsidR="00B82D50" w14:paraId="3AEDCA3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08C96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23CEB0"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BCEDFC" w14:textId="77777777" w:rsidR="00A77B3E" w:rsidRDefault="00000000">
            <w:pPr>
              <w:spacing w:before="100"/>
              <w:jc w:val="center"/>
              <w:rPr>
                <w:color w:val="000000"/>
                <w:sz w:val="20"/>
              </w:rPr>
            </w:pPr>
            <w:r>
              <w:rPr>
                <w:color w:val="000000"/>
                <w:sz w:val="20"/>
              </w:rPr>
              <w:t>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02B14B" w14:textId="77777777" w:rsidR="00A77B3E" w:rsidRDefault="00000000">
            <w:pPr>
              <w:spacing w:before="100"/>
              <w:jc w:val="center"/>
              <w:rPr>
                <w:color w:val="000000"/>
                <w:sz w:val="20"/>
              </w:rPr>
            </w:pPr>
            <w:r>
              <w:rPr>
                <w:color w:val="000000"/>
                <w:sz w:val="20"/>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584E6E" w14:textId="77777777" w:rsidR="00A77B3E" w:rsidRDefault="00000000">
            <w:pPr>
              <w:spacing w:before="100"/>
              <w:jc w:val="center"/>
              <w:rPr>
                <w:color w:val="000000"/>
                <w:sz w:val="20"/>
              </w:rPr>
            </w:pPr>
            <w:r>
              <w:rPr>
                <w:color w:val="000000"/>
                <w:sz w:val="20"/>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C5B70B" w14:textId="77777777" w:rsidR="00A77B3E" w:rsidRDefault="00000000">
            <w:pPr>
              <w:spacing w:before="100"/>
              <w:jc w:val="center"/>
              <w:rPr>
                <w:color w:val="000000"/>
                <w:sz w:val="20"/>
              </w:rPr>
            </w:pPr>
            <w:r>
              <w:rPr>
                <w:color w:val="000000"/>
                <w:sz w:val="20"/>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0BD5BF" w14:textId="77777777" w:rsidR="00A77B3E" w:rsidRDefault="00000000">
            <w:pPr>
              <w:spacing w:before="100"/>
              <w:jc w:val="center"/>
              <w:rPr>
                <w:color w:val="000000"/>
                <w:sz w:val="20"/>
              </w:rPr>
            </w:pPr>
            <w:r>
              <w:rPr>
                <w:color w:val="000000"/>
                <w:sz w:val="20"/>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13D56D" w14:textId="77777777" w:rsidR="00A77B3E" w:rsidRDefault="00000000">
            <w:pPr>
              <w:spacing w:before="100"/>
              <w:jc w:val="center"/>
              <w:rPr>
                <w:color w:val="000000"/>
                <w:sz w:val="20"/>
              </w:rPr>
            </w:pPr>
            <w:r>
              <w:rPr>
                <w:color w:val="000000"/>
                <w:sz w:val="20"/>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4EFBD06" w14:textId="77777777" w:rsidR="00A77B3E" w:rsidRDefault="00000000">
            <w:pPr>
              <w:spacing w:before="100"/>
              <w:jc w:val="center"/>
              <w:rPr>
                <w:color w:val="000000"/>
                <w:sz w:val="20"/>
              </w:rPr>
            </w:pPr>
            <w:r>
              <w:rPr>
                <w:color w:val="000000"/>
                <w:sz w:val="20"/>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333D8F" w14:textId="77777777" w:rsidR="00A77B3E" w:rsidRDefault="00000000">
            <w:pPr>
              <w:spacing w:before="100"/>
              <w:jc w:val="center"/>
              <w:rPr>
                <w:color w:val="000000"/>
                <w:sz w:val="20"/>
              </w:rPr>
            </w:pPr>
            <w:r>
              <w:rPr>
                <w:color w:val="000000"/>
                <w:sz w:val="20"/>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CD817F" w14:textId="77777777" w:rsidR="00A77B3E" w:rsidRDefault="00000000">
            <w:pPr>
              <w:spacing w:before="100"/>
              <w:jc w:val="center"/>
              <w:rPr>
                <w:color w:val="000000"/>
                <w:sz w:val="16"/>
              </w:rPr>
            </w:pPr>
            <w:r>
              <w:rPr>
                <w:color w:val="000000"/>
                <w:sz w:val="20"/>
              </w:rPr>
              <w:t>Total</w:t>
            </w:r>
          </w:p>
        </w:tc>
      </w:tr>
    </w:tbl>
    <w:p w14:paraId="4F737B18" w14:textId="77777777" w:rsidR="00A77B3E" w:rsidRDefault="00A77B3E">
      <w:pPr>
        <w:spacing w:before="100"/>
        <w:rPr>
          <w:color w:val="000000"/>
          <w:sz w:val="20"/>
        </w:rPr>
      </w:pPr>
    </w:p>
    <w:p w14:paraId="1C461CC4" w14:textId="77777777" w:rsidR="00A77B3E" w:rsidRDefault="00A77B3E">
      <w:pPr>
        <w:spacing w:before="100"/>
        <w:rPr>
          <w:color w:val="000000"/>
          <w:sz w:val="0"/>
        </w:rPr>
      </w:pPr>
    </w:p>
    <w:p w14:paraId="48CA44E6" w14:textId="77777777" w:rsidR="00A77B3E" w:rsidRDefault="00000000">
      <w:pPr>
        <w:pStyle w:val="Heading4"/>
        <w:spacing w:before="100" w:after="0"/>
        <w:rPr>
          <w:b w:val="0"/>
          <w:color w:val="000000"/>
          <w:sz w:val="24"/>
        </w:rPr>
      </w:pPr>
      <w:bookmarkStart w:id="118" w:name="_Toc256000275"/>
      <w:r>
        <w:rPr>
          <w:b w:val="0"/>
          <w:color w:val="000000"/>
          <w:sz w:val="24"/>
        </w:rPr>
        <w:t>Table 16B: Transfers to instruments under direct or indirect management* (summary)</w:t>
      </w:r>
      <w:bookmarkEnd w:id="118"/>
    </w:p>
    <w:p w14:paraId="12C2002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9108"/>
        <w:gridCol w:w="3032"/>
      </w:tblGrid>
      <w:tr w:rsidR="00B82D50" w14:paraId="080B7554"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78C8E6B" w14:textId="77777777" w:rsidR="00A77B3E" w:rsidRDefault="00000000">
            <w:pPr>
              <w:spacing w:before="100"/>
              <w:jc w:val="center"/>
              <w:rPr>
                <w:color w:val="000000"/>
                <w:sz w:val="20"/>
              </w:rPr>
            </w:pPr>
            <w:r>
              <w:rPr>
                <w:color w:val="000000"/>
                <w:sz w:val="20"/>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4065D5" w14:textId="77777777" w:rsidR="00A77B3E" w:rsidRDefault="00000000">
            <w:pPr>
              <w:spacing w:before="100"/>
              <w:jc w:val="center"/>
              <w:rPr>
                <w:color w:val="000000"/>
                <w:sz w:val="20"/>
              </w:rPr>
            </w:pPr>
            <w:r>
              <w:rPr>
                <w:color w:val="000000"/>
                <w:sz w:val="20"/>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8F5062" w14:textId="77777777" w:rsidR="00A77B3E" w:rsidRDefault="00000000">
            <w:pPr>
              <w:spacing w:before="100"/>
              <w:jc w:val="center"/>
              <w:rPr>
                <w:color w:val="000000"/>
                <w:sz w:val="20"/>
              </w:rPr>
            </w:pPr>
            <w:r>
              <w:rPr>
                <w:color w:val="000000"/>
                <w:sz w:val="20"/>
              </w:rPr>
              <w:t>Total</w:t>
            </w:r>
          </w:p>
        </w:tc>
      </w:tr>
      <w:tr w:rsidR="00B82D50" w14:paraId="60538B1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A0D40F" w14:textId="77777777" w:rsidR="00A77B3E" w:rsidRDefault="00000000">
            <w:pPr>
              <w:spacing w:before="100"/>
              <w:jc w:val="center"/>
              <w:rPr>
                <w:color w:val="000000"/>
                <w:sz w:val="20"/>
              </w:rPr>
            </w:pPr>
            <w:r>
              <w:rPr>
                <w:color w:val="000000"/>
                <w:sz w:val="2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F4144C" w14:textId="77777777" w:rsidR="00A77B3E" w:rsidRDefault="00A77B3E">
            <w:pPr>
              <w:spacing w:before="100"/>
              <w:jc w:val="center"/>
              <w:rPr>
                <w:color w:val="000000"/>
                <w:sz w:val="20"/>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BB8114" w14:textId="77777777" w:rsidR="00A77B3E" w:rsidRDefault="00A77B3E">
            <w:pPr>
              <w:spacing w:before="100"/>
              <w:jc w:val="right"/>
              <w:rPr>
                <w:color w:val="000000"/>
                <w:sz w:val="20"/>
              </w:rPr>
            </w:pPr>
          </w:p>
        </w:tc>
      </w:tr>
    </w:tbl>
    <w:p w14:paraId="000C05B8" w14:textId="77777777" w:rsidR="00A77B3E" w:rsidRDefault="00000000">
      <w:pPr>
        <w:spacing w:before="100"/>
        <w:rPr>
          <w:color w:val="000000"/>
          <w:sz w:val="20"/>
        </w:rPr>
      </w:pPr>
      <w:r>
        <w:rPr>
          <w:color w:val="000000"/>
          <w:sz w:val="20"/>
        </w:rPr>
        <w:t xml:space="preserve">* Cumulative amounts for all transfers done through </w:t>
      </w:r>
      <w:proofErr w:type="spellStart"/>
      <w:r>
        <w:rPr>
          <w:color w:val="000000"/>
          <w:sz w:val="20"/>
        </w:rPr>
        <w:t>programme</w:t>
      </w:r>
      <w:proofErr w:type="spellEnd"/>
      <w:r>
        <w:rPr>
          <w:color w:val="000000"/>
          <w:sz w:val="20"/>
        </w:rPr>
        <w:t xml:space="preserve"> amendments during programming period. With each new request for transfer, a </w:t>
      </w:r>
      <w:proofErr w:type="spellStart"/>
      <w:r>
        <w:rPr>
          <w:color w:val="000000"/>
          <w:sz w:val="20"/>
        </w:rPr>
        <w:t>programme</w:t>
      </w:r>
      <w:proofErr w:type="spellEnd"/>
      <w:r>
        <w:rPr>
          <w:color w:val="000000"/>
          <w:sz w:val="20"/>
        </w:rPr>
        <w:t xml:space="preserve"> amendment shall set out the total amounts transferred for each year by Fund and by category of region.</w:t>
      </w:r>
    </w:p>
    <w:p w14:paraId="684409D5" w14:textId="77777777" w:rsidR="00A77B3E" w:rsidRDefault="00A77B3E">
      <w:pPr>
        <w:spacing w:before="100"/>
        <w:rPr>
          <w:color w:val="000000"/>
          <w:sz w:val="20"/>
        </w:rPr>
      </w:pPr>
    </w:p>
    <w:p w14:paraId="153A0DBE" w14:textId="77777777" w:rsidR="00A77B3E" w:rsidRDefault="00000000">
      <w:pPr>
        <w:pStyle w:val="Heading4"/>
        <w:spacing w:before="100" w:after="0"/>
        <w:rPr>
          <w:b w:val="0"/>
          <w:color w:val="000000"/>
          <w:sz w:val="24"/>
        </w:rPr>
      </w:pPr>
      <w:bookmarkStart w:id="119" w:name="_Toc256000276"/>
      <w:r>
        <w:rPr>
          <w:b w:val="0"/>
          <w:color w:val="000000"/>
          <w:sz w:val="24"/>
        </w:rPr>
        <w:t>Transfers to instruments under direct or indirect management - Justification</w:t>
      </w:r>
      <w:bookmarkEnd w:id="119"/>
    </w:p>
    <w:p w14:paraId="6F2DFF92"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01A17D69"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B2842A" w14:textId="77777777" w:rsidR="00A77B3E" w:rsidRDefault="00A77B3E">
            <w:pPr>
              <w:spacing w:before="100"/>
              <w:rPr>
                <w:color w:val="000000"/>
                <w:sz w:val="0"/>
              </w:rPr>
            </w:pPr>
          </w:p>
          <w:p w14:paraId="2585307A" w14:textId="77777777" w:rsidR="00A77B3E" w:rsidRDefault="00A77B3E">
            <w:pPr>
              <w:spacing w:before="100"/>
              <w:rPr>
                <w:color w:val="000000"/>
              </w:rPr>
            </w:pPr>
          </w:p>
        </w:tc>
      </w:tr>
    </w:tbl>
    <w:p w14:paraId="2B54C464" w14:textId="77777777" w:rsidR="00A77B3E" w:rsidRDefault="00A77B3E">
      <w:pPr>
        <w:spacing w:before="100"/>
        <w:rPr>
          <w:color w:val="000000"/>
        </w:rPr>
      </w:pPr>
    </w:p>
    <w:p w14:paraId="6DFF005A" w14:textId="77777777" w:rsidR="00A77B3E" w:rsidRDefault="00A77B3E">
      <w:pPr>
        <w:spacing w:before="100"/>
        <w:rPr>
          <w:color w:val="000000"/>
        </w:rPr>
      </w:pPr>
    </w:p>
    <w:p w14:paraId="6ABD61BC" w14:textId="77777777" w:rsidR="00A77B3E" w:rsidRDefault="00000000">
      <w:pPr>
        <w:pStyle w:val="Heading4"/>
        <w:spacing w:before="100" w:after="0"/>
        <w:rPr>
          <w:b w:val="0"/>
          <w:color w:val="000000"/>
          <w:sz w:val="24"/>
        </w:rPr>
      </w:pPr>
      <w:bookmarkStart w:id="120" w:name="_Toc256000277"/>
      <w:r>
        <w:rPr>
          <w:b w:val="0"/>
          <w:color w:val="000000"/>
          <w:sz w:val="24"/>
        </w:rPr>
        <w:t>Table 17A: Transfers between ERDF, ESF+ and Cohesion Fund or to another Fund or Funds* (breakdown by year)</w:t>
      </w:r>
      <w:bookmarkEnd w:id="120"/>
    </w:p>
    <w:p w14:paraId="7E5B5437"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842"/>
        <w:gridCol w:w="960"/>
        <w:gridCol w:w="2842"/>
        <w:gridCol w:w="941"/>
        <w:gridCol w:w="941"/>
        <w:gridCol w:w="941"/>
        <w:gridCol w:w="941"/>
        <w:gridCol w:w="941"/>
        <w:gridCol w:w="941"/>
        <w:gridCol w:w="941"/>
        <w:gridCol w:w="980"/>
      </w:tblGrid>
      <w:tr w:rsidR="00B82D50" w14:paraId="0285D730" w14:textId="77777777">
        <w:trPr>
          <w:tblHead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BAC9E7" w14:textId="77777777" w:rsidR="00A77B3E" w:rsidRDefault="00000000">
            <w:pPr>
              <w:spacing w:before="100"/>
              <w:jc w:val="center"/>
              <w:rPr>
                <w:color w:val="000000"/>
                <w:sz w:val="16"/>
              </w:rPr>
            </w:pPr>
            <w:r>
              <w:rPr>
                <w:color w:val="000000"/>
                <w:sz w:val="16"/>
              </w:rPr>
              <w:t>Transfers from</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E06993" w14:textId="77777777" w:rsidR="00A77B3E" w:rsidRDefault="00000000">
            <w:pPr>
              <w:spacing w:before="100"/>
              <w:jc w:val="center"/>
              <w:rPr>
                <w:color w:val="000000"/>
                <w:sz w:val="16"/>
              </w:rPr>
            </w:pPr>
            <w:r>
              <w:rPr>
                <w:color w:val="000000"/>
                <w:sz w:val="16"/>
              </w:rPr>
              <w:t>Transfers to</w:t>
            </w:r>
          </w:p>
        </w:tc>
        <w:tc>
          <w:tcPr>
            <w:tcW w:w="0" w:type="auto"/>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3F1143" w14:textId="77777777" w:rsidR="00A77B3E" w:rsidRDefault="00000000">
            <w:pPr>
              <w:spacing w:before="100"/>
              <w:jc w:val="center"/>
              <w:rPr>
                <w:color w:val="000000"/>
                <w:sz w:val="16"/>
              </w:rPr>
            </w:pPr>
            <w:r>
              <w:rPr>
                <w:color w:val="000000"/>
                <w:sz w:val="16"/>
              </w:rPr>
              <w:t>Breakdown by year</w:t>
            </w:r>
          </w:p>
        </w:tc>
      </w:tr>
      <w:tr w:rsidR="00B82D50" w14:paraId="0C324E2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9D077B" w14:textId="77777777" w:rsidR="00A77B3E" w:rsidRDefault="00000000">
            <w:pPr>
              <w:spacing w:before="100"/>
              <w:jc w:val="center"/>
              <w:rPr>
                <w:color w:val="000000"/>
                <w:sz w:val="16"/>
              </w:rPr>
            </w:pPr>
            <w:r>
              <w:rPr>
                <w:color w:val="000000"/>
                <w:sz w:val="16"/>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34D89F" w14:textId="77777777" w:rsidR="00A77B3E" w:rsidRDefault="00000000">
            <w:pPr>
              <w:spacing w:before="100"/>
              <w:jc w:val="center"/>
              <w:rPr>
                <w:color w:val="000000"/>
                <w:sz w:val="16"/>
              </w:rPr>
            </w:pPr>
            <w:r>
              <w:rPr>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671B8F" w14:textId="77777777" w:rsidR="00A77B3E" w:rsidRDefault="00000000">
            <w:pPr>
              <w:spacing w:before="100"/>
              <w:jc w:val="center"/>
              <w:rPr>
                <w:color w:val="000000"/>
                <w:sz w:val="16"/>
              </w:rPr>
            </w:pPr>
            <w:r>
              <w:rPr>
                <w:color w:val="000000"/>
                <w:sz w:val="16"/>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9927F3" w14:textId="77777777" w:rsidR="00A77B3E" w:rsidRDefault="00000000">
            <w:pPr>
              <w:spacing w:before="100"/>
              <w:jc w:val="center"/>
              <w:rPr>
                <w:color w:val="000000"/>
                <w:sz w:val="16"/>
              </w:rPr>
            </w:pPr>
            <w:r>
              <w:rPr>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9E5770" w14:textId="77777777" w:rsidR="00A77B3E" w:rsidRDefault="00000000">
            <w:pPr>
              <w:spacing w:before="100"/>
              <w:jc w:val="center"/>
              <w:rPr>
                <w:color w:val="000000"/>
                <w:sz w:val="16"/>
              </w:rPr>
            </w:pPr>
            <w:r>
              <w:rPr>
                <w:color w:val="000000"/>
                <w:sz w:val="16"/>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18D4C70" w14:textId="77777777" w:rsidR="00A77B3E" w:rsidRDefault="00000000">
            <w:pPr>
              <w:spacing w:before="100"/>
              <w:jc w:val="center"/>
              <w:rPr>
                <w:color w:val="000000"/>
                <w:sz w:val="16"/>
              </w:rPr>
            </w:pPr>
            <w:r>
              <w:rPr>
                <w:color w:val="000000"/>
                <w:sz w:val="16"/>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BA3BFA" w14:textId="77777777" w:rsidR="00A77B3E" w:rsidRDefault="00000000">
            <w:pPr>
              <w:spacing w:before="100"/>
              <w:jc w:val="center"/>
              <w:rPr>
                <w:color w:val="000000"/>
                <w:sz w:val="16"/>
              </w:rPr>
            </w:pPr>
            <w:r>
              <w:rPr>
                <w:color w:val="000000"/>
                <w:sz w:val="16"/>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9BD71C" w14:textId="77777777" w:rsidR="00A77B3E" w:rsidRDefault="00000000">
            <w:pPr>
              <w:spacing w:before="100"/>
              <w:jc w:val="center"/>
              <w:rPr>
                <w:color w:val="000000"/>
                <w:sz w:val="16"/>
              </w:rPr>
            </w:pPr>
            <w:r>
              <w:rPr>
                <w:color w:val="000000"/>
                <w:sz w:val="16"/>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983F97" w14:textId="77777777" w:rsidR="00A77B3E" w:rsidRDefault="00000000">
            <w:pPr>
              <w:spacing w:before="100"/>
              <w:jc w:val="center"/>
              <w:rPr>
                <w:color w:val="000000"/>
                <w:sz w:val="16"/>
              </w:rPr>
            </w:pPr>
            <w:r>
              <w:rPr>
                <w:color w:val="000000"/>
                <w:sz w:val="16"/>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CC4558" w14:textId="77777777" w:rsidR="00A77B3E" w:rsidRDefault="00000000">
            <w:pPr>
              <w:spacing w:before="100"/>
              <w:jc w:val="center"/>
              <w:rPr>
                <w:color w:val="000000"/>
                <w:sz w:val="16"/>
              </w:rPr>
            </w:pPr>
            <w:r>
              <w:rPr>
                <w:color w:val="000000"/>
                <w:sz w:val="16"/>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8D115E" w14:textId="77777777" w:rsidR="00A77B3E" w:rsidRDefault="00000000">
            <w:pPr>
              <w:spacing w:before="100"/>
              <w:jc w:val="center"/>
              <w:rPr>
                <w:color w:val="000000"/>
                <w:sz w:val="16"/>
              </w:rPr>
            </w:pPr>
            <w:r>
              <w:rPr>
                <w:color w:val="000000"/>
                <w:sz w:val="16"/>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CE0192B" w14:textId="77777777" w:rsidR="00A77B3E" w:rsidRDefault="00000000">
            <w:pPr>
              <w:spacing w:before="100"/>
              <w:jc w:val="center"/>
              <w:rPr>
                <w:color w:val="000000"/>
                <w:sz w:val="16"/>
              </w:rPr>
            </w:pPr>
            <w:r>
              <w:rPr>
                <w:color w:val="000000"/>
                <w:sz w:val="16"/>
              </w:rPr>
              <w:t>Total</w:t>
            </w:r>
          </w:p>
        </w:tc>
      </w:tr>
    </w:tbl>
    <w:p w14:paraId="00EE0019" w14:textId="77777777" w:rsidR="00A77B3E" w:rsidRDefault="00000000">
      <w:pPr>
        <w:spacing w:before="100"/>
        <w:rPr>
          <w:color w:val="000000"/>
          <w:sz w:val="16"/>
        </w:rPr>
      </w:pPr>
      <w:r>
        <w:rPr>
          <w:color w:val="000000"/>
          <w:sz w:val="16"/>
        </w:rPr>
        <w:t>* Transfer to other programmes. Transfers between ERDF and ESF+ can only be done within the same category of region.</w:t>
      </w:r>
    </w:p>
    <w:p w14:paraId="45867A33" w14:textId="77777777" w:rsidR="00A77B3E" w:rsidRDefault="00A77B3E">
      <w:pPr>
        <w:spacing w:before="100"/>
        <w:rPr>
          <w:color w:val="000000"/>
          <w:sz w:val="16"/>
        </w:rPr>
      </w:pPr>
    </w:p>
    <w:p w14:paraId="530ADC6E" w14:textId="77777777" w:rsidR="00A77B3E" w:rsidRDefault="00000000">
      <w:pPr>
        <w:pStyle w:val="Heading4"/>
        <w:spacing w:before="100" w:after="0"/>
        <w:rPr>
          <w:b w:val="0"/>
          <w:color w:val="000000"/>
          <w:sz w:val="24"/>
        </w:rPr>
      </w:pPr>
      <w:bookmarkStart w:id="121" w:name="_Toc256000278"/>
      <w:r>
        <w:rPr>
          <w:b w:val="0"/>
          <w:color w:val="000000"/>
          <w:sz w:val="24"/>
        </w:rPr>
        <w:t>Table 17B: Transfers between ERDF, ESF+ and Cohesion Fund or to another Fund or Funds (summary)</w:t>
      </w:r>
      <w:bookmarkEnd w:id="121"/>
    </w:p>
    <w:p w14:paraId="62B74E76"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41"/>
        <w:gridCol w:w="1166"/>
        <w:gridCol w:w="785"/>
        <w:gridCol w:w="1113"/>
        <w:gridCol w:w="2766"/>
        <w:gridCol w:w="1166"/>
        <w:gridCol w:w="785"/>
        <w:gridCol w:w="1113"/>
        <w:gridCol w:w="2766"/>
        <w:gridCol w:w="329"/>
        <w:gridCol w:w="662"/>
        <w:gridCol w:w="531"/>
        <w:gridCol w:w="364"/>
        <w:gridCol w:w="548"/>
        <w:gridCol w:w="469"/>
      </w:tblGrid>
      <w:tr w:rsidR="00B82D50" w14:paraId="4C986D2B" w14:textId="77777777">
        <w:trPr>
          <w:tblHeader/>
        </w:trPr>
        <w:tc>
          <w:tcPr>
            <w:tcW w:w="0" w:type="auto"/>
            <w:gridSpan w:val="2"/>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49F14A" w14:textId="77777777" w:rsidR="00A77B3E" w:rsidRDefault="00A77B3E">
            <w:pPr>
              <w:spacing w:before="100"/>
              <w:jc w:val="center"/>
              <w:rPr>
                <w:color w:val="000000"/>
                <w:sz w:val="14"/>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BA775B" w14:textId="77777777" w:rsidR="00A77B3E" w:rsidRDefault="00000000">
            <w:pPr>
              <w:spacing w:before="100"/>
              <w:jc w:val="center"/>
              <w:rPr>
                <w:color w:val="000000"/>
                <w:sz w:val="14"/>
              </w:rPr>
            </w:pPr>
            <w:r>
              <w:rPr>
                <w:color w:val="000000"/>
                <w:sz w:val="14"/>
              </w:rPr>
              <w:t>ERDF</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819EDE" w14:textId="77777777" w:rsidR="00A77B3E" w:rsidRDefault="00000000">
            <w:pPr>
              <w:spacing w:before="100"/>
              <w:jc w:val="center"/>
              <w:rPr>
                <w:color w:val="000000"/>
                <w:sz w:val="14"/>
              </w:rPr>
            </w:pPr>
            <w:r>
              <w:rPr>
                <w:color w:val="000000"/>
                <w:sz w:val="14"/>
              </w:rPr>
              <w:t>ESF+</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B8AF6C" w14:textId="77777777" w:rsidR="00A77B3E" w:rsidRDefault="00000000">
            <w:pPr>
              <w:spacing w:before="100"/>
              <w:jc w:val="center"/>
              <w:rPr>
                <w:color w:val="000000"/>
                <w:sz w:val="14"/>
              </w:rPr>
            </w:pPr>
            <w:r>
              <w:rPr>
                <w:color w:val="000000"/>
                <w:sz w:val="14"/>
              </w:rPr>
              <w:t>CF</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2E96FA" w14:textId="77777777" w:rsidR="00A77B3E" w:rsidRDefault="00000000">
            <w:pPr>
              <w:spacing w:before="100"/>
              <w:jc w:val="center"/>
              <w:rPr>
                <w:color w:val="000000"/>
                <w:sz w:val="14"/>
              </w:rPr>
            </w:pPr>
            <w:r>
              <w:rPr>
                <w:color w:val="000000"/>
                <w:sz w:val="14"/>
              </w:rPr>
              <w:t>EMFAF</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62DF5F" w14:textId="77777777" w:rsidR="00A77B3E" w:rsidRDefault="00000000">
            <w:pPr>
              <w:spacing w:before="100"/>
              <w:jc w:val="center"/>
              <w:rPr>
                <w:color w:val="000000"/>
                <w:sz w:val="14"/>
              </w:rPr>
            </w:pPr>
            <w:r>
              <w:rPr>
                <w:color w:val="000000"/>
                <w:sz w:val="14"/>
              </w:rPr>
              <w:t>AMIF</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1FFE3A" w14:textId="77777777" w:rsidR="00A77B3E" w:rsidRDefault="00000000">
            <w:pPr>
              <w:spacing w:before="100"/>
              <w:jc w:val="center"/>
              <w:rPr>
                <w:color w:val="000000"/>
                <w:sz w:val="14"/>
              </w:rPr>
            </w:pPr>
            <w:r>
              <w:rPr>
                <w:color w:val="000000"/>
                <w:sz w:val="14"/>
              </w:rPr>
              <w:t>ISF</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68D22F" w14:textId="77777777" w:rsidR="00A77B3E" w:rsidRDefault="00000000">
            <w:pPr>
              <w:spacing w:before="100"/>
              <w:jc w:val="center"/>
              <w:rPr>
                <w:color w:val="000000"/>
                <w:sz w:val="14"/>
              </w:rPr>
            </w:pPr>
            <w:r>
              <w:rPr>
                <w:color w:val="000000"/>
                <w:sz w:val="14"/>
              </w:rPr>
              <w:t>BMVI</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543595" w14:textId="77777777" w:rsidR="00A77B3E" w:rsidRDefault="00000000">
            <w:pPr>
              <w:spacing w:before="100"/>
              <w:jc w:val="center"/>
              <w:rPr>
                <w:color w:val="000000"/>
                <w:sz w:val="14"/>
              </w:rPr>
            </w:pPr>
            <w:r>
              <w:rPr>
                <w:color w:val="000000"/>
                <w:sz w:val="14"/>
              </w:rPr>
              <w:t>Total</w:t>
            </w:r>
          </w:p>
        </w:tc>
      </w:tr>
      <w:tr w:rsidR="00B82D50" w14:paraId="21375D32" w14:textId="77777777">
        <w:trPr>
          <w:tblHeader/>
        </w:trPr>
        <w:tc>
          <w:tcPr>
            <w:tcW w:w="0" w:type="auto"/>
            <w:gridSpan w:val="2"/>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EA0F4DF" w14:textId="77777777" w:rsidR="00A77B3E" w:rsidRDefault="00A77B3E">
            <w:pPr>
              <w:spacing w:before="100"/>
              <w:jc w:val="center"/>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FDED837" w14:textId="77777777" w:rsidR="00A77B3E" w:rsidRDefault="00000000">
            <w:pPr>
              <w:spacing w:before="100"/>
              <w:jc w:val="center"/>
              <w:rPr>
                <w:color w:val="000000"/>
                <w:sz w:val="14"/>
              </w:rPr>
            </w:pPr>
            <w:r>
              <w:rPr>
                <w:color w:val="000000"/>
                <w:sz w:val="14"/>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19A194" w14:textId="77777777" w:rsidR="00A77B3E" w:rsidRDefault="00000000">
            <w:pPr>
              <w:spacing w:before="100"/>
              <w:jc w:val="center"/>
              <w:rPr>
                <w:color w:val="000000"/>
                <w:sz w:val="14"/>
              </w:rPr>
            </w:pPr>
            <w:r>
              <w:rPr>
                <w:color w:val="000000"/>
                <w:sz w:val="14"/>
              </w:rPr>
              <w:t>Transition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587E4F" w14:textId="77777777" w:rsidR="00A77B3E" w:rsidRDefault="00000000">
            <w:pPr>
              <w:spacing w:before="100"/>
              <w:jc w:val="center"/>
              <w:rPr>
                <w:color w:val="000000"/>
                <w:sz w:val="14"/>
              </w:rPr>
            </w:pPr>
            <w:r>
              <w:rPr>
                <w:color w:val="000000"/>
                <w:sz w:val="14"/>
              </w:rPr>
              <w:t>Less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F28AD8" w14:textId="77777777" w:rsidR="00A77B3E" w:rsidRDefault="00000000">
            <w:pPr>
              <w:spacing w:before="100"/>
              <w:jc w:val="center"/>
              <w:rPr>
                <w:color w:val="000000"/>
                <w:sz w:val="14"/>
              </w:rPr>
            </w:pPr>
            <w:r>
              <w:rPr>
                <w:color w:val="000000"/>
                <w:sz w:val="14"/>
              </w:rPr>
              <w:t>Outermost or northern sparsely populated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C55AE8" w14:textId="77777777" w:rsidR="00A77B3E" w:rsidRDefault="00000000">
            <w:pPr>
              <w:spacing w:before="100"/>
              <w:jc w:val="center"/>
              <w:rPr>
                <w:color w:val="000000"/>
                <w:sz w:val="14"/>
              </w:rPr>
            </w:pPr>
            <w:r>
              <w:rPr>
                <w:color w:val="000000"/>
                <w:sz w:val="14"/>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3D5956" w14:textId="77777777" w:rsidR="00A77B3E" w:rsidRDefault="00000000">
            <w:pPr>
              <w:spacing w:before="100"/>
              <w:jc w:val="center"/>
              <w:rPr>
                <w:color w:val="000000"/>
                <w:sz w:val="14"/>
              </w:rPr>
            </w:pPr>
            <w:r>
              <w:rPr>
                <w:color w:val="000000"/>
                <w:sz w:val="14"/>
              </w:rPr>
              <w:t>Transition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991706" w14:textId="77777777" w:rsidR="00A77B3E" w:rsidRDefault="00000000">
            <w:pPr>
              <w:spacing w:before="100"/>
              <w:jc w:val="center"/>
              <w:rPr>
                <w:color w:val="000000"/>
                <w:sz w:val="14"/>
              </w:rPr>
            </w:pPr>
            <w:r>
              <w:rPr>
                <w:color w:val="000000"/>
                <w:sz w:val="14"/>
              </w:rPr>
              <w:t>Less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71538C3" w14:textId="77777777" w:rsidR="00A77B3E" w:rsidRDefault="00000000">
            <w:pPr>
              <w:spacing w:before="100"/>
              <w:jc w:val="center"/>
              <w:rPr>
                <w:color w:val="000000"/>
                <w:sz w:val="14"/>
              </w:rPr>
            </w:pPr>
            <w:r>
              <w:rPr>
                <w:color w:val="000000"/>
                <w:sz w:val="14"/>
              </w:rPr>
              <w:t>Outermost or northern sparsely populated</w:t>
            </w: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2F8D26" w14:textId="77777777" w:rsidR="00A77B3E" w:rsidRDefault="00A77B3E">
            <w:pPr>
              <w:spacing w:before="100"/>
              <w:jc w:val="center"/>
              <w:rPr>
                <w:color w:val="000000"/>
                <w:sz w:val="14"/>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46AB78" w14:textId="77777777" w:rsidR="00A77B3E" w:rsidRDefault="00A77B3E">
            <w:pPr>
              <w:spacing w:before="100"/>
              <w:jc w:val="center"/>
              <w:rPr>
                <w:color w:val="000000"/>
                <w:sz w:val="14"/>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52CEB11" w14:textId="77777777" w:rsidR="00A77B3E" w:rsidRDefault="00A77B3E">
            <w:pPr>
              <w:spacing w:before="100"/>
              <w:jc w:val="center"/>
              <w:rPr>
                <w:color w:val="000000"/>
                <w:sz w:val="14"/>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42C829" w14:textId="77777777" w:rsidR="00A77B3E" w:rsidRDefault="00A77B3E">
            <w:pPr>
              <w:spacing w:before="100"/>
              <w:jc w:val="center"/>
              <w:rPr>
                <w:color w:val="000000"/>
                <w:sz w:val="14"/>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05B6B2" w14:textId="77777777" w:rsidR="00A77B3E" w:rsidRDefault="00A77B3E">
            <w:pPr>
              <w:spacing w:before="100"/>
              <w:jc w:val="center"/>
              <w:rPr>
                <w:color w:val="000000"/>
                <w:sz w:val="14"/>
              </w:rPr>
            </w:pPr>
          </w:p>
        </w:tc>
        <w:tc>
          <w:tcPr>
            <w:tcW w:w="0" w:type="auto"/>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3E906C" w14:textId="77777777" w:rsidR="00A77B3E" w:rsidRDefault="00A77B3E">
            <w:pPr>
              <w:spacing w:before="100"/>
              <w:jc w:val="center"/>
              <w:rPr>
                <w:color w:val="000000"/>
                <w:sz w:val="14"/>
              </w:rPr>
            </w:pPr>
          </w:p>
        </w:tc>
      </w:tr>
      <w:tr w:rsidR="00B82D50" w14:paraId="6A87643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3FF1876" w14:textId="77777777" w:rsidR="00A77B3E" w:rsidRDefault="00000000">
            <w:pPr>
              <w:spacing w:before="100"/>
              <w:jc w:val="center"/>
              <w:rPr>
                <w:color w:val="000000"/>
                <w:sz w:val="14"/>
              </w:rPr>
            </w:pPr>
            <w:r>
              <w:rPr>
                <w:color w:val="000000"/>
                <w:sz w:val="14"/>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5A43C7" w14:textId="77777777" w:rsidR="00A77B3E" w:rsidRDefault="00A77B3E">
            <w:pPr>
              <w:spacing w:before="100"/>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E70C20"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C8F181"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E5BF73"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EEE7399"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D57FBC"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923042"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52091A"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33FBF7"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56248B"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C4E553"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9E9286"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67CB69"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F365D7" w14:textId="77777777" w:rsidR="00A77B3E" w:rsidRDefault="00A77B3E">
            <w:pPr>
              <w:spacing w:before="100"/>
              <w:jc w:val="right"/>
              <w:rPr>
                <w:color w:val="000000"/>
                <w:sz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96DC1F" w14:textId="77777777" w:rsidR="00A77B3E" w:rsidRDefault="00A77B3E">
            <w:pPr>
              <w:spacing w:before="100"/>
              <w:jc w:val="right"/>
              <w:rPr>
                <w:color w:val="000000"/>
                <w:sz w:val="14"/>
              </w:rPr>
            </w:pPr>
          </w:p>
        </w:tc>
      </w:tr>
    </w:tbl>
    <w:p w14:paraId="671C2203" w14:textId="77777777" w:rsidR="00A77B3E" w:rsidRDefault="00000000">
      <w:pPr>
        <w:spacing w:before="100"/>
        <w:rPr>
          <w:color w:val="000000"/>
          <w:sz w:val="16"/>
        </w:rPr>
      </w:pPr>
      <w:r>
        <w:rPr>
          <w:color w:val="000000"/>
          <w:sz w:val="16"/>
        </w:rPr>
        <w:lastRenderedPageBreak/>
        <w:t xml:space="preserve">* Cumulative amounts for all transfers done through </w:t>
      </w:r>
      <w:proofErr w:type="spellStart"/>
      <w:r>
        <w:rPr>
          <w:color w:val="000000"/>
          <w:sz w:val="16"/>
        </w:rPr>
        <w:t>programme</w:t>
      </w:r>
      <w:proofErr w:type="spellEnd"/>
      <w:r>
        <w:rPr>
          <w:color w:val="000000"/>
          <w:sz w:val="16"/>
        </w:rPr>
        <w:t xml:space="preserve"> amendments during the programming period. With each new request for transfer, a </w:t>
      </w:r>
      <w:proofErr w:type="spellStart"/>
      <w:r>
        <w:rPr>
          <w:color w:val="000000"/>
          <w:sz w:val="16"/>
        </w:rPr>
        <w:t>programme</w:t>
      </w:r>
      <w:proofErr w:type="spellEnd"/>
      <w:r>
        <w:rPr>
          <w:color w:val="000000"/>
          <w:sz w:val="16"/>
        </w:rPr>
        <w:t xml:space="preserve"> amendment shall set out the total amounts transferred for each year by Fund and category of region.</w:t>
      </w:r>
    </w:p>
    <w:p w14:paraId="3D51C859" w14:textId="77777777" w:rsidR="00A77B3E" w:rsidRDefault="00A77B3E">
      <w:pPr>
        <w:spacing w:before="100"/>
        <w:rPr>
          <w:color w:val="000000"/>
          <w:sz w:val="16"/>
        </w:rPr>
      </w:pPr>
    </w:p>
    <w:p w14:paraId="057FD075" w14:textId="77777777" w:rsidR="00A77B3E" w:rsidRDefault="00000000">
      <w:pPr>
        <w:pStyle w:val="Heading4"/>
        <w:spacing w:before="100" w:after="0"/>
        <w:rPr>
          <w:b w:val="0"/>
          <w:color w:val="000000"/>
          <w:sz w:val="24"/>
        </w:rPr>
      </w:pPr>
      <w:bookmarkStart w:id="122" w:name="_Toc256000279"/>
      <w:r>
        <w:rPr>
          <w:b w:val="0"/>
          <w:color w:val="000000"/>
          <w:sz w:val="24"/>
        </w:rPr>
        <w:t>Transfers between shared management funds, including between cohesion policy funds - Justification</w:t>
      </w:r>
      <w:bookmarkEnd w:id="122"/>
    </w:p>
    <w:p w14:paraId="136CCEFB"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B82D50" w14:paraId="1E76D79E" w14:textId="77777777">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4D28AF" w14:textId="77777777" w:rsidR="00A77B3E" w:rsidRDefault="00A77B3E">
            <w:pPr>
              <w:spacing w:before="100"/>
              <w:rPr>
                <w:color w:val="000000"/>
                <w:sz w:val="0"/>
              </w:rPr>
            </w:pPr>
          </w:p>
          <w:p w14:paraId="3B1E8F93" w14:textId="77777777" w:rsidR="00A77B3E" w:rsidRDefault="00A77B3E">
            <w:pPr>
              <w:spacing w:before="100"/>
              <w:rPr>
                <w:color w:val="000000"/>
              </w:rPr>
            </w:pPr>
          </w:p>
        </w:tc>
      </w:tr>
    </w:tbl>
    <w:p w14:paraId="503A7A60" w14:textId="77777777" w:rsidR="00A77B3E" w:rsidRDefault="00A77B3E">
      <w:pPr>
        <w:spacing w:before="100"/>
        <w:rPr>
          <w:color w:val="000000"/>
        </w:rPr>
      </w:pPr>
    </w:p>
    <w:p w14:paraId="6E7594A1" w14:textId="77777777" w:rsidR="00A77B3E" w:rsidRDefault="00000000">
      <w:pPr>
        <w:pStyle w:val="Heading4"/>
        <w:spacing w:before="100" w:after="0"/>
        <w:rPr>
          <w:b w:val="0"/>
          <w:color w:val="000000"/>
          <w:sz w:val="24"/>
        </w:rPr>
      </w:pPr>
      <w:bookmarkStart w:id="123" w:name="_Toc256000280"/>
      <w:r>
        <w:rPr>
          <w:b w:val="0"/>
          <w:color w:val="000000"/>
          <w:sz w:val="24"/>
        </w:rPr>
        <w:t>Table 21: Resources contributing to the objectives set out in Article 21c(3) of Regulation (EU) 2021/241</w:t>
      </w:r>
      <w:bookmarkEnd w:id="123"/>
    </w:p>
    <w:p w14:paraId="2FD3E9F0" w14:textId="77777777" w:rsidR="00A77B3E" w:rsidRDefault="00A77B3E">
      <w:pPr>
        <w:spacing w:before="100"/>
        <w:rPr>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3768"/>
        <w:gridCol w:w="1248"/>
        <w:gridCol w:w="1247"/>
        <w:gridCol w:w="1247"/>
        <w:gridCol w:w="1247"/>
        <w:gridCol w:w="1247"/>
        <w:gridCol w:w="1247"/>
        <w:gridCol w:w="1298"/>
      </w:tblGrid>
      <w:tr w:rsidR="00B82D50" w14:paraId="6003638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C262FE" w14:textId="77777777" w:rsidR="00A77B3E" w:rsidRDefault="00000000">
            <w:pPr>
              <w:spacing w:before="100"/>
              <w:jc w:val="center"/>
              <w:rPr>
                <w:color w:val="000000"/>
                <w:sz w:val="16"/>
              </w:rPr>
            </w:pPr>
            <w:r>
              <w:rPr>
                <w:color w:val="000000"/>
                <w:sz w:val="16"/>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5C9D11" w14:textId="77777777" w:rsidR="00A77B3E" w:rsidRDefault="00000000">
            <w:pPr>
              <w:spacing w:before="100"/>
              <w:jc w:val="center"/>
              <w:rPr>
                <w:color w:val="000000"/>
                <w:sz w:val="16"/>
              </w:rPr>
            </w:pPr>
            <w:r>
              <w:rPr>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025324" w14:textId="77777777" w:rsidR="00A77B3E" w:rsidRDefault="00000000">
            <w:pPr>
              <w:spacing w:before="100"/>
              <w:jc w:val="center"/>
              <w:rPr>
                <w:color w:val="000000"/>
                <w:sz w:val="16"/>
              </w:rPr>
            </w:pPr>
            <w:r>
              <w:rPr>
                <w:color w:val="000000"/>
                <w:sz w:val="16"/>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3C6E3C" w14:textId="77777777" w:rsidR="00A77B3E" w:rsidRDefault="00000000">
            <w:pPr>
              <w:spacing w:before="100"/>
              <w:jc w:val="center"/>
              <w:rPr>
                <w:color w:val="000000"/>
                <w:sz w:val="16"/>
              </w:rPr>
            </w:pPr>
            <w:r>
              <w:rPr>
                <w:color w:val="000000"/>
                <w:sz w:val="16"/>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5DCBD6" w14:textId="77777777" w:rsidR="00A77B3E" w:rsidRDefault="00000000">
            <w:pPr>
              <w:spacing w:before="100"/>
              <w:jc w:val="center"/>
              <w:rPr>
                <w:color w:val="000000"/>
                <w:sz w:val="16"/>
              </w:rPr>
            </w:pPr>
            <w:r>
              <w:rPr>
                <w:color w:val="000000"/>
                <w:sz w:val="16"/>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61BAFD" w14:textId="77777777" w:rsidR="00A77B3E" w:rsidRDefault="00000000">
            <w:pPr>
              <w:spacing w:before="100"/>
              <w:jc w:val="center"/>
              <w:rPr>
                <w:color w:val="000000"/>
                <w:sz w:val="16"/>
              </w:rPr>
            </w:pPr>
            <w:r>
              <w:rPr>
                <w:color w:val="000000"/>
                <w:sz w:val="16"/>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4F6BA1" w14:textId="77777777" w:rsidR="00A77B3E" w:rsidRDefault="00000000">
            <w:pPr>
              <w:spacing w:before="100"/>
              <w:jc w:val="center"/>
              <w:rPr>
                <w:color w:val="000000"/>
                <w:sz w:val="16"/>
              </w:rPr>
            </w:pPr>
            <w:r>
              <w:rPr>
                <w:color w:val="000000"/>
                <w:sz w:val="16"/>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6E0D2A9" w14:textId="77777777" w:rsidR="00A77B3E" w:rsidRDefault="00000000">
            <w:pPr>
              <w:spacing w:before="100"/>
              <w:jc w:val="center"/>
              <w:rPr>
                <w:color w:val="000000"/>
                <w:sz w:val="16"/>
              </w:rPr>
            </w:pPr>
            <w:r>
              <w:rPr>
                <w:color w:val="000000"/>
                <w:sz w:val="16"/>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9FE68B2" w14:textId="77777777" w:rsidR="00A77B3E" w:rsidRDefault="00000000">
            <w:pPr>
              <w:spacing w:before="100"/>
              <w:jc w:val="center"/>
              <w:rPr>
                <w:color w:val="000000"/>
                <w:sz w:val="16"/>
              </w:rPr>
            </w:pPr>
            <w:r>
              <w:rPr>
                <w:color w:val="000000"/>
                <w:sz w:val="16"/>
              </w:rPr>
              <w:t>Total</w:t>
            </w:r>
          </w:p>
        </w:tc>
      </w:tr>
      <w:tr w:rsidR="00B82D50" w14:paraId="40DD673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0F3831" w14:textId="77777777" w:rsidR="00A77B3E" w:rsidRDefault="00000000">
            <w:pPr>
              <w:spacing w:before="100"/>
              <w:rPr>
                <w:b/>
                <w:color w:val="000000"/>
                <w:sz w:val="16"/>
              </w:rPr>
            </w:pPr>
            <w:r>
              <w:rPr>
                <w:b/>
                <w:color w:val="000000"/>
                <w:sz w:val="16"/>
              </w:rPr>
              <w:t>Grand total</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EBA86F" w14:textId="77777777" w:rsidR="00A77B3E" w:rsidRDefault="00A77B3E">
            <w:pPr>
              <w:spacing w:before="100"/>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99540"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CF7371"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8CA2ED"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530EA6"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65EB1F"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F9BEA1" w14:textId="77777777" w:rsidR="00A77B3E" w:rsidRDefault="00A77B3E">
            <w:pPr>
              <w:spacing w:before="100"/>
              <w:jc w:val="right"/>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13136F" w14:textId="77777777" w:rsidR="00A77B3E" w:rsidRDefault="00A77B3E">
            <w:pPr>
              <w:spacing w:before="100"/>
              <w:jc w:val="right"/>
              <w:rPr>
                <w:color w:val="000000"/>
                <w:sz w:val="16"/>
              </w:rPr>
            </w:pPr>
          </w:p>
        </w:tc>
      </w:tr>
    </w:tbl>
    <w:p w14:paraId="08CD4CF3" w14:textId="77777777" w:rsidR="00A77B3E" w:rsidRDefault="00A77B3E">
      <w:pPr>
        <w:spacing w:before="100"/>
        <w:rPr>
          <w:color w:val="000000"/>
          <w:sz w:val="16"/>
        </w:rPr>
      </w:pPr>
    </w:p>
    <w:p w14:paraId="470DC0F2" w14:textId="77777777" w:rsidR="00A77B3E" w:rsidRDefault="00A77B3E">
      <w:pPr>
        <w:spacing w:before="100"/>
        <w:rPr>
          <w:color w:val="000000"/>
          <w:sz w:val="16"/>
        </w:rPr>
      </w:pPr>
    </w:p>
    <w:p w14:paraId="75AFE65E" w14:textId="77777777" w:rsidR="00A77B3E" w:rsidRDefault="00000000">
      <w:pPr>
        <w:pStyle w:val="Heading2"/>
        <w:spacing w:before="100" w:after="0"/>
        <w:rPr>
          <w:rFonts w:ascii="Times New Roman" w:hAnsi="Times New Roman" w:cs="Times New Roman"/>
          <w:b w:val="0"/>
          <w:i w:val="0"/>
          <w:color w:val="000000"/>
          <w:sz w:val="24"/>
        </w:rPr>
      </w:pPr>
      <w:bookmarkStart w:id="124" w:name="_Toc256000281"/>
      <w:r>
        <w:rPr>
          <w:rFonts w:ascii="Times New Roman" w:hAnsi="Times New Roman" w:cs="Times New Roman"/>
          <w:b w:val="0"/>
          <w:i w:val="0"/>
          <w:color w:val="000000"/>
          <w:sz w:val="24"/>
        </w:rPr>
        <w:t xml:space="preserve">3.2. JTF: allocation in the </w:t>
      </w:r>
      <w:proofErr w:type="spellStart"/>
      <w:r>
        <w:rPr>
          <w:rFonts w:ascii="Times New Roman" w:hAnsi="Times New Roman" w:cs="Times New Roman"/>
          <w:b w:val="0"/>
          <w:i w:val="0"/>
          <w:color w:val="000000"/>
          <w:sz w:val="24"/>
        </w:rPr>
        <w:t>programme</w:t>
      </w:r>
      <w:proofErr w:type="spellEnd"/>
      <w:r>
        <w:rPr>
          <w:rFonts w:ascii="Times New Roman" w:hAnsi="Times New Roman" w:cs="Times New Roman"/>
          <w:b w:val="0"/>
          <w:i w:val="0"/>
          <w:color w:val="000000"/>
          <w:sz w:val="24"/>
        </w:rPr>
        <w:t xml:space="preserve"> and transfers (1)</w:t>
      </w:r>
      <w:bookmarkEnd w:id="124"/>
    </w:p>
    <w:p w14:paraId="782597E9" w14:textId="77777777" w:rsidR="00A77B3E" w:rsidRDefault="00A77B3E">
      <w:pPr>
        <w:spacing w:before="100"/>
        <w:rPr>
          <w:color w:val="000000"/>
          <w:sz w:val="0"/>
        </w:rPr>
      </w:pPr>
    </w:p>
    <w:p w14:paraId="5541B7E9" w14:textId="77777777" w:rsidR="00A77B3E" w:rsidRDefault="00A77B3E">
      <w:pPr>
        <w:spacing w:before="100"/>
        <w:rPr>
          <w:color w:val="000000"/>
        </w:rPr>
      </w:pPr>
    </w:p>
    <w:p w14:paraId="55393FA2" w14:textId="77777777" w:rsidR="00A77B3E" w:rsidRDefault="00A77B3E">
      <w:pPr>
        <w:spacing w:before="100"/>
        <w:rPr>
          <w:color w:val="000000"/>
        </w:rPr>
      </w:pPr>
    </w:p>
    <w:p w14:paraId="104B0977" w14:textId="77777777" w:rsidR="00A77B3E" w:rsidRDefault="00000000">
      <w:pPr>
        <w:pStyle w:val="Heading2"/>
        <w:spacing w:before="100" w:after="0"/>
        <w:rPr>
          <w:rFonts w:ascii="TimesNewRoman" w:eastAsia="TimesNewRoman" w:hAnsi="TimesNewRoman" w:cs="TimesNewRoman"/>
          <w:b w:val="0"/>
          <w:i w:val="0"/>
          <w:color w:val="000000"/>
          <w:sz w:val="24"/>
        </w:rPr>
      </w:pPr>
      <w:bookmarkStart w:id="125" w:name="_Toc256000282"/>
      <w:r>
        <w:rPr>
          <w:rFonts w:ascii="TimesNewRoman" w:eastAsia="TimesNewRoman" w:hAnsi="TimesNewRoman" w:cs="TimesNewRoman"/>
          <w:b w:val="0"/>
          <w:i w:val="0"/>
          <w:color w:val="000000"/>
          <w:sz w:val="24"/>
        </w:rPr>
        <w:t>3.3. Transfers between categories of region resulting from the mid-term review</w:t>
      </w:r>
      <w:bookmarkEnd w:id="125"/>
    </w:p>
    <w:p w14:paraId="29B6C504" w14:textId="77777777" w:rsidR="00A77B3E" w:rsidRDefault="00A77B3E">
      <w:pPr>
        <w:spacing w:before="100"/>
        <w:rPr>
          <w:rFonts w:ascii="TimesNewRoman" w:eastAsia="TimesNewRoman" w:hAnsi="TimesNewRoman" w:cs="TimesNewRoman"/>
          <w:color w:val="000000"/>
          <w:sz w:val="0"/>
        </w:rPr>
      </w:pPr>
    </w:p>
    <w:p w14:paraId="63B0F96D" w14:textId="77777777" w:rsidR="00A77B3E" w:rsidRDefault="00000000">
      <w:pPr>
        <w:pStyle w:val="Heading4"/>
        <w:spacing w:before="100" w:after="0"/>
        <w:rPr>
          <w:rFonts w:ascii="TimesNewRoman" w:eastAsia="TimesNewRoman" w:hAnsi="TimesNewRoman" w:cs="TimesNewRoman"/>
          <w:b w:val="0"/>
          <w:color w:val="000000"/>
          <w:sz w:val="24"/>
        </w:rPr>
      </w:pPr>
      <w:bookmarkStart w:id="126" w:name="_Toc256000283"/>
      <w:r>
        <w:rPr>
          <w:rFonts w:ascii="TimesNewRoman" w:eastAsia="TimesNewRoman" w:hAnsi="TimesNewRoman" w:cs="TimesNewRoman"/>
          <w:b w:val="0"/>
          <w:color w:val="000000"/>
          <w:sz w:val="24"/>
        </w:rPr>
        <w:t xml:space="preserve">Table 19A: Transfers between categories of region resulting from the mid-term review within the </w:t>
      </w:r>
      <w:proofErr w:type="spellStart"/>
      <w:r>
        <w:rPr>
          <w:rFonts w:ascii="TimesNewRoman" w:eastAsia="TimesNewRoman" w:hAnsi="TimesNewRoman" w:cs="TimesNewRoman"/>
          <w:b w:val="0"/>
          <w:color w:val="000000"/>
          <w:sz w:val="24"/>
        </w:rPr>
        <w:t>programme</w:t>
      </w:r>
      <w:proofErr w:type="spellEnd"/>
      <w:r>
        <w:rPr>
          <w:rFonts w:ascii="TimesNewRoman" w:eastAsia="TimesNewRoman" w:hAnsi="TimesNewRoman" w:cs="TimesNewRoman"/>
          <w:b w:val="0"/>
          <w:color w:val="000000"/>
          <w:sz w:val="24"/>
        </w:rPr>
        <w:t xml:space="preserve"> (breakdown by year)</w:t>
      </w:r>
      <w:bookmarkEnd w:id="1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gridCol w:w="1452"/>
        <w:gridCol w:w="1452"/>
        <w:gridCol w:w="1452"/>
        <w:gridCol w:w="1512"/>
      </w:tblGrid>
      <w:tr w:rsidR="00B82D50" w14:paraId="3259006D"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5DB5AC"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Transfers from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0F509E"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Transfers to</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947BAA"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Breakdown by year</w:t>
            </w:r>
          </w:p>
        </w:tc>
      </w:tr>
      <w:tr w:rsidR="00B82D50" w14:paraId="4F2ADBD1"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B722879"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875964"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7D03FB"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0E85EE"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34DBD2"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E1D166"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Total</w:t>
            </w:r>
          </w:p>
        </w:tc>
      </w:tr>
    </w:tbl>
    <w:p w14:paraId="3A3FCFBF"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 Applicable to ERDF and ESF+ only</w:t>
      </w:r>
    </w:p>
    <w:p w14:paraId="3D11B5AB" w14:textId="77777777" w:rsidR="00A77B3E" w:rsidRDefault="00A77B3E">
      <w:pPr>
        <w:spacing w:before="100"/>
        <w:rPr>
          <w:rFonts w:ascii="TimesNewRoman" w:eastAsia="TimesNewRoman" w:hAnsi="TimesNewRoman" w:cs="TimesNewRoman"/>
          <w:color w:val="000000"/>
          <w:sz w:val="16"/>
        </w:rPr>
      </w:pPr>
    </w:p>
    <w:p w14:paraId="6B732E72" w14:textId="77777777" w:rsidR="00A77B3E" w:rsidRDefault="00000000">
      <w:pPr>
        <w:pStyle w:val="Heading4"/>
        <w:spacing w:before="100" w:after="0"/>
        <w:rPr>
          <w:rFonts w:ascii="TimesNewRoman" w:eastAsia="TimesNewRoman" w:hAnsi="TimesNewRoman" w:cs="TimesNewRoman"/>
          <w:b w:val="0"/>
          <w:color w:val="000000"/>
          <w:sz w:val="24"/>
        </w:rPr>
      </w:pPr>
      <w:bookmarkStart w:id="127" w:name="_Toc256000284"/>
      <w:r>
        <w:rPr>
          <w:rFonts w:ascii="TimesNewRoman" w:eastAsia="TimesNewRoman" w:hAnsi="TimesNewRoman" w:cs="TimesNewRoman"/>
          <w:b w:val="0"/>
          <w:color w:val="000000"/>
          <w:sz w:val="24"/>
        </w:rPr>
        <w:t>Table 19B: Transfers between categories of region resulting from the mid-term review, to other programmes (breakdown by year)</w:t>
      </w:r>
      <w:bookmarkEnd w:id="1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4652"/>
        <w:gridCol w:w="1452"/>
        <w:gridCol w:w="1452"/>
        <w:gridCol w:w="1452"/>
        <w:gridCol w:w="1512"/>
      </w:tblGrid>
      <w:tr w:rsidR="00B82D50" w14:paraId="3B3A56CE"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C9B6A3"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Transfers from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70625C"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Transfers to</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7A2069"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Breakdown by year</w:t>
            </w:r>
          </w:p>
        </w:tc>
      </w:tr>
      <w:tr w:rsidR="00B82D50" w14:paraId="6E45FB8D"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20DDA6"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E407B7"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08CC39"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8F9142"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C44FB2"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21469"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Total</w:t>
            </w:r>
          </w:p>
        </w:tc>
      </w:tr>
    </w:tbl>
    <w:p w14:paraId="0DD0305C"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 Applicable to ERDF and ESF+ only</w:t>
      </w:r>
    </w:p>
    <w:p w14:paraId="06DBEEB3" w14:textId="77777777" w:rsidR="00A77B3E" w:rsidRDefault="00A77B3E">
      <w:pPr>
        <w:spacing w:before="100"/>
        <w:rPr>
          <w:rFonts w:ascii="TimesNewRoman" w:eastAsia="TimesNewRoman" w:hAnsi="TimesNewRoman" w:cs="TimesNewRoman"/>
          <w:color w:val="000000"/>
          <w:sz w:val="16"/>
        </w:rPr>
      </w:pPr>
    </w:p>
    <w:p w14:paraId="3E610220" w14:textId="77777777" w:rsidR="00A77B3E" w:rsidRDefault="00000000">
      <w:pPr>
        <w:pStyle w:val="Heading2"/>
        <w:spacing w:before="100" w:after="0"/>
        <w:rPr>
          <w:rFonts w:ascii="TimesNewRoman" w:eastAsia="TimesNewRoman" w:hAnsi="TimesNewRoman" w:cs="TimesNewRoman"/>
          <w:b w:val="0"/>
          <w:i w:val="0"/>
          <w:color w:val="000000"/>
          <w:sz w:val="24"/>
        </w:rPr>
      </w:pPr>
      <w:bookmarkStart w:id="128" w:name="_Toc256000285"/>
      <w:r>
        <w:rPr>
          <w:rFonts w:ascii="TimesNewRoman" w:eastAsia="TimesNewRoman" w:hAnsi="TimesNewRoman" w:cs="TimesNewRoman"/>
          <w:b w:val="0"/>
          <w:i w:val="0"/>
          <w:color w:val="000000"/>
          <w:sz w:val="24"/>
        </w:rPr>
        <w:lastRenderedPageBreak/>
        <w:t>3.4. Transfers back (1)</w:t>
      </w:r>
      <w:bookmarkEnd w:id="128"/>
    </w:p>
    <w:p w14:paraId="2A9B48D6" w14:textId="77777777" w:rsidR="00A77B3E" w:rsidRDefault="00000000">
      <w:pPr>
        <w:pStyle w:val="Heading4"/>
        <w:spacing w:before="100" w:after="0"/>
        <w:rPr>
          <w:rFonts w:ascii="TimesNewRoman" w:eastAsia="TimesNewRoman" w:hAnsi="TimesNewRoman" w:cs="TimesNewRoman"/>
          <w:b w:val="0"/>
          <w:color w:val="000000"/>
          <w:sz w:val="24"/>
        </w:rPr>
      </w:pPr>
      <w:bookmarkStart w:id="129" w:name="_Toc256000286"/>
      <w:r>
        <w:rPr>
          <w:rFonts w:ascii="TimesNewRoman" w:eastAsia="TimesNewRoman" w:hAnsi="TimesNewRoman" w:cs="TimesNewRoman"/>
          <w:b w:val="0"/>
          <w:color w:val="000000"/>
          <w:sz w:val="24"/>
        </w:rPr>
        <w:t>Table 20A: Transfers back (breakdown by year)</w:t>
      </w:r>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878"/>
        <w:gridCol w:w="2603"/>
        <w:gridCol w:w="862"/>
        <w:gridCol w:w="862"/>
        <w:gridCol w:w="862"/>
        <w:gridCol w:w="862"/>
        <w:gridCol w:w="862"/>
        <w:gridCol w:w="862"/>
        <w:gridCol w:w="862"/>
        <w:gridCol w:w="897"/>
      </w:tblGrid>
      <w:tr w:rsidR="00B82D50" w14:paraId="6D380E90"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4610F6"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Transfers from</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057153"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Transfers to</w:t>
            </w:r>
          </w:p>
        </w:tc>
        <w:tc>
          <w:tcPr>
            <w:tcW w:w="0" w:type="auto"/>
            <w:gridSpan w:val="8"/>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D973B0"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Breakdown by year</w:t>
            </w:r>
          </w:p>
        </w:tc>
      </w:tr>
      <w:tr w:rsidR="00B82D50" w14:paraId="24CC569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938C3F" w14:textId="77777777" w:rsidR="00A77B3E" w:rsidRDefault="00000000">
            <w:pPr>
              <w:spacing w:before="100"/>
              <w:jc w:val="center"/>
              <w:rPr>
                <w:rFonts w:ascii="TimesNewRoman" w:eastAsia="TimesNewRoman" w:hAnsi="TimesNewRoman" w:cs="TimesNewRoman"/>
                <w:color w:val="000000"/>
                <w:sz w:val="16"/>
              </w:rPr>
            </w:pPr>
            <w:proofErr w:type="spellStart"/>
            <w:r>
              <w:rPr>
                <w:rFonts w:ascii="TimesNewRoman" w:eastAsia="TimesNewRoman" w:hAnsi="TimesNewRoman" w:cs="TimesNewRoman"/>
                <w:color w:val="000000"/>
                <w:sz w:val="16"/>
              </w:rPr>
              <w:t>InvestEU</w:t>
            </w:r>
            <w:proofErr w:type="spellEnd"/>
            <w:r>
              <w:rPr>
                <w:rFonts w:ascii="TimesNewRoman" w:eastAsia="TimesNewRoman" w:hAnsi="TimesNewRoman" w:cs="TimesNewRoman"/>
                <w:color w:val="000000"/>
                <w:sz w:val="16"/>
              </w:rPr>
              <w:t xml:space="preserve"> or other Union instrument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780FF3"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Fund</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E08A68E"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Category of region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EA8827"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760FAB"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43E240"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4B5D87"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5011A9"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2025</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FC23F8F"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2026</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0D2F82"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2027</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E470E9" w14:textId="77777777" w:rsidR="00A77B3E" w:rsidRDefault="00000000">
            <w:pPr>
              <w:spacing w:before="100"/>
              <w:jc w:val="center"/>
              <w:rPr>
                <w:rFonts w:ascii="TimesNewRoman" w:eastAsia="TimesNewRoman" w:hAnsi="TimesNewRoman" w:cs="TimesNewRoman"/>
                <w:color w:val="000000"/>
                <w:sz w:val="16"/>
              </w:rPr>
            </w:pPr>
            <w:r>
              <w:rPr>
                <w:rFonts w:ascii="TimesNewRoman" w:eastAsia="TimesNewRoman" w:hAnsi="TimesNewRoman" w:cs="TimesNewRoman"/>
                <w:color w:val="000000"/>
                <w:sz w:val="16"/>
              </w:rPr>
              <w:t>Total</w:t>
            </w:r>
          </w:p>
        </w:tc>
      </w:tr>
    </w:tbl>
    <w:p w14:paraId="4E229E52"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 xml:space="preserve">(1) Applicable only to </w:t>
      </w:r>
      <w:proofErr w:type="spellStart"/>
      <w:r>
        <w:rPr>
          <w:rFonts w:ascii="TimesNewRoman" w:eastAsia="TimesNewRoman" w:hAnsi="TimesNewRoman" w:cs="TimesNewRoman"/>
          <w:color w:val="000000"/>
          <w:sz w:val="16"/>
        </w:rPr>
        <w:t>programme</w:t>
      </w:r>
      <w:proofErr w:type="spellEnd"/>
      <w:r>
        <w:rPr>
          <w:rFonts w:ascii="TimesNewRoman" w:eastAsia="TimesNewRoman" w:hAnsi="TimesNewRoman" w:cs="TimesNewRoman"/>
          <w:color w:val="000000"/>
          <w:sz w:val="16"/>
        </w:rPr>
        <w:t xml:space="preserve"> amendments for resources transferred back from other Union instruments, including elements of AMIF, ISF and BMVI, under direct or indirect management, or from </w:t>
      </w:r>
      <w:proofErr w:type="spellStart"/>
      <w:r>
        <w:rPr>
          <w:rFonts w:ascii="TimesNewRoman" w:eastAsia="TimesNewRoman" w:hAnsi="TimesNewRoman" w:cs="TimesNewRoman"/>
          <w:color w:val="000000"/>
          <w:sz w:val="16"/>
        </w:rPr>
        <w:t>InvestEU</w:t>
      </w:r>
      <w:proofErr w:type="spellEnd"/>
      <w:r>
        <w:rPr>
          <w:rFonts w:ascii="TimesNewRoman" w:eastAsia="TimesNewRoman" w:hAnsi="TimesNewRoman" w:cs="TimesNewRoman"/>
          <w:color w:val="000000"/>
          <w:sz w:val="16"/>
        </w:rPr>
        <w:t>.</w:t>
      </w:r>
    </w:p>
    <w:p w14:paraId="212083DC" w14:textId="77777777" w:rsidR="00A77B3E" w:rsidRDefault="00000000">
      <w:pPr>
        <w:pStyle w:val="Heading4"/>
        <w:spacing w:before="100" w:after="0"/>
        <w:rPr>
          <w:b w:val="0"/>
          <w:color w:val="000000"/>
          <w:sz w:val="24"/>
        </w:rPr>
      </w:pPr>
      <w:bookmarkStart w:id="130" w:name="_Toc256000287"/>
      <w:r>
        <w:rPr>
          <w:b w:val="0"/>
          <w:color w:val="000000"/>
          <w:sz w:val="24"/>
        </w:rPr>
        <w:t>Table 20B: Transfers back* (summary)</w:t>
      </w:r>
      <w:bookmarkEnd w:id="1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2149"/>
        <w:gridCol w:w="1481"/>
        <w:gridCol w:w="1543"/>
        <w:gridCol w:w="2149"/>
        <w:gridCol w:w="1481"/>
        <w:gridCol w:w="1543"/>
        <w:gridCol w:w="2026"/>
      </w:tblGrid>
      <w:tr w:rsidR="00B82D50" w14:paraId="65149421"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776F611D" w14:textId="77777777" w:rsidR="00A77B3E" w:rsidRDefault="00000000">
            <w:pPr>
              <w:spacing w:before="100"/>
              <w:jc w:val="center"/>
              <w:rPr>
                <w:color w:val="000000"/>
                <w:sz w:val="16"/>
              </w:rPr>
            </w:pPr>
            <w:r>
              <w:rPr>
                <w:color w:val="000000"/>
                <w:sz w:val="16"/>
              </w:rPr>
              <w:t>From</w:t>
            </w:r>
          </w:p>
        </w:tc>
        <w:tc>
          <w:tcPr>
            <w:tcW w:w="0" w:type="auto"/>
            <w:gridSpan w:val="7"/>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06ED9FB5" w14:textId="77777777" w:rsidR="00A77B3E" w:rsidRDefault="00000000">
            <w:pPr>
              <w:spacing w:before="100"/>
              <w:jc w:val="center"/>
              <w:rPr>
                <w:color w:val="000000"/>
                <w:sz w:val="16"/>
              </w:rPr>
            </w:pPr>
            <w:r>
              <w:rPr>
                <w:color w:val="000000"/>
                <w:sz w:val="16"/>
              </w:rPr>
              <w:t>To</w:t>
            </w:r>
          </w:p>
        </w:tc>
      </w:tr>
      <w:tr w:rsidR="00B82D50" w14:paraId="3BA90C3F" w14:textId="77777777">
        <w:trPr>
          <w:tblHead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6183AABA" w14:textId="77777777" w:rsidR="00A77B3E" w:rsidRDefault="00000000">
            <w:pPr>
              <w:spacing w:before="100"/>
              <w:jc w:val="center"/>
              <w:rPr>
                <w:color w:val="000000"/>
                <w:sz w:val="16"/>
              </w:rPr>
            </w:pPr>
            <w:proofErr w:type="spellStart"/>
            <w:r>
              <w:rPr>
                <w:color w:val="000000"/>
                <w:sz w:val="16"/>
              </w:rPr>
              <w:t>InvestEU</w:t>
            </w:r>
            <w:proofErr w:type="spellEnd"/>
            <w:r>
              <w:rPr>
                <w:color w:val="000000"/>
                <w:sz w:val="16"/>
              </w:rPr>
              <w:t xml:space="preserve"> / Instrument</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13397B43" w14:textId="77777777" w:rsidR="00A77B3E" w:rsidRDefault="00000000">
            <w:pPr>
              <w:spacing w:before="100"/>
              <w:jc w:val="center"/>
              <w:rPr>
                <w:color w:val="000000"/>
                <w:sz w:val="16"/>
              </w:rPr>
            </w:pPr>
            <w:r>
              <w:rPr>
                <w:color w:val="000000"/>
                <w:sz w:val="16"/>
              </w:rPr>
              <w:t>ERDF</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1F3A7D14" w14:textId="77777777" w:rsidR="00A77B3E" w:rsidRDefault="00000000">
            <w:pPr>
              <w:spacing w:before="100"/>
              <w:jc w:val="center"/>
              <w:rPr>
                <w:color w:val="000000"/>
                <w:sz w:val="16"/>
              </w:rPr>
            </w:pPr>
            <w:r>
              <w:rPr>
                <w:color w:val="000000"/>
                <w:sz w:val="16"/>
              </w:rPr>
              <w:t>ESF+</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21DD2389" w14:textId="77777777" w:rsidR="00A77B3E" w:rsidRDefault="00000000">
            <w:pPr>
              <w:spacing w:before="100"/>
              <w:jc w:val="center"/>
              <w:rPr>
                <w:color w:val="000000"/>
                <w:sz w:val="16"/>
              </w:rPr>
            </w:pPr>
            <w:r>
              <w:rPr>
                <w:color w:val="000000"/>
                <w:sz w:val="16"/>
              </w:rPr>
              <w:t>Cohesion Fund</w:t>
            </w:r>
          </w:p>
        </w:tc>
      </w:tr>
      <w:tr w:rsidR="00B82D50" w14:paraId="59552E67" w14:textId="77777777">
        <w:trPr>
          <w:tblHeader/>
        </w:trPr>
        <w:tc>
          <w:tcPr>
            <w:tcW w:w="0" w:type="auto"/>
            <w:vMerge/>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5F479FAE" w14:textId="77777777" w:rsidR="00A77B3E" w:rsidRDefault="00A77B3E">
            <w:pPr>
              <w:spacing w:before="100"/>
              <w:jc w:val="center"/>
              <w:rPr>
                <w:color w:val="000000"/>
                <w:sz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59C5CB66" w14:textId="77777777" w:rsidR="00A77B3E" w:rsidRDefault="00000000">
            <w:pPr>
              <w:spacing w:before="100"/>
              <w:jc w:val="center"/>
              <w:rPr>
                <w:color w:val="000000"/>
                <w:sz w:val="16"/>
              </w:rPr>
            </w:pPr>
            <w:r>
              <w:rPr>
                <w:color w:val="000000"/>
                <w:sz w:val="16"/>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1418E532" w14:textId="77777777" w:rsidR="00A77B3E" w:rsidRDefault="00000000">
            <w:pPr>
              <w:spacing w:before="100"/>
              <w:jc w:val="center"/>
              <w:rPr>
                <w:color w:val="000000"/>
                <w:sz w:val="16"/>
              </w:rPr>
            </w:pPr>
            <w:r>
              <w:rPr>
                <w:color w:val="000000"/>
                <w:sz w:val="16"/>
              </w:rPr>
              <w:t>Transition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1A1D5A2D" w14:textId="77777777" w:rsidR="00A77B3E" w:rsidRDefault="00000000">
            <w:pPr>
              <w:spacing w:before="100"/>
              <w:jc w:val="center"/>
              <w:rPr>
                <w:color w:val="000000"/>
                <w:sz w:val="16"/>
              </w:rPr>
            </w:pPr>
            <w:r>
              <w:rPr>
                <w:color w:val="000000"/>
                <w:sz w:val="16"/>
              </w:rPr>
              <w:t>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73192DDC" w14:textId="77777777" w:rsidR="00A77B3E" w:rsidRDefault="00000000">
            <w:pPr>
              <w:spacing w:before="100"/>
              <w:jc w:val="center"/>
              <w:rPr>
                <w:color w:val="000000"/>
                <w:sz w:val="16"/>
              </w:rPr>
            </w:pPr>
            <w:r>
              <w:rPr>
                <w:color w:val="000000"/>
                <w:sz w:val="16"/>
              </w:rPr>
              <w:t>More developed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280155FF" w14:textId="77777777" w:rsidR="00A77B3E" w:rsidRDefault="00000000">
            <w:pPr>
              <w:spacing w:before="100"/>
              <w:jc w:val="center"/>
              <w:rPr>
                <w:color w:val="000000"/>
                <w:sz w:val="16"/>
              </w:rPr>
            </w:pPr>
            <w:r>
              <w:rPr>
                <w:color w:val="000000"/>
                <w:sz w:val="16"/>
              </w:rPr>
              <w:t>Transition</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564CE1E4" w14:textId="77777777" w:rsidR="00A77B3E" w:rsidRDefault="00000000">
            <w:pPr>
              <w:spacing w:before="100"/>
              <w:jc w:val="center"/>
              <w:rPr>
                <w:color w:val="000000"/>
                <w:sz w:val="16"/>
              </w:rPr>
            </w:pPr>
            <w:r>
              <w:rPr>
                <w:color w:val="000000"/>
                <w:sz w:val="16"/>
              </w:rPr>
              <w:t>Developed</w:t>
            </w:r>
          </w:p>
        </w:tc>
        <w:tc>
          <w:tcPr>
            <w:tcW w:w="0" w:type="auto"/>
            <w:vMerge/>
            <w:tcBorders>
              <w:top w:val="single" w:sz="4" w:space="0" w:color="000000"/>
              <w:left w:val="single" w:sz="4" w:space="0" w:color="000000"/>
              <w:bottom w:val="single" w:sz="4" w:space="0" w:color="000000"/>
              <w:right w:val="single" w:sz="4" w:space="0" w:color="000000"/>
            </w:tcBorders>
            <w:tcMar>
              <w:top w:w="0" w:type="dxa"/>
              <w:left w:w="100" w:type="dxa"/>
              <w:bottom w:w="80" w:type="dxa"/>
              <w:right w:w="100" w:type="dxa"/>
            </w:tcMar>
            <w:vAlign w:val="center"/>
          </w:tcPr>
          <w:p w14:paraId="5E82C1E4" w14:textId="77777777" w:rsidR="00A77B3E" w:rsidRDefault="00A77B3E">
            <w:pPr>
              <w:spacing w:before="100"/>
              <w:jc w:val="center"/>
              <w:rPr>
                <w:color w:val="000000"/>
                <w:sz w:val="16"/>
              </w:rPr>
            </w:pPr>
          </w:p>
        </w:tc>
      </w:tr>
    </w:tbl>
    <w:p w14:paraId="33E218CF" w14:textId="77777777" w:rsidR="00A77B3E" w:rsidRDefault="00000000">
      <w:pPr>
        <w:spacing w:before="100"/>
        <w:rPr>
          <w:color w:val="000000"/>
          <w:sz w:val="16"/>
        </w:rPr>
      </w:pPr>
      <w:r>
        <w:rPr>
          <w:color w:val="000000"/>
          <w:sz w:val="16"/>
        </w:rPr>
        <w:t xml:space="preserve">* Cumulative amounts for all transfers done through </w:t>
      </w:r>
      <w:proofErr w:type="spellStart"/>
      <w:r>
        <w:rPr>
          <w:color w:val="000000"/>
          <w:sz w:val="16"/>
        </w:rPr>
        <w:t>programme</w:t>
      </w:r>
      <w:proofErr w:type="spellEnd"/>
      <w:r>
        <w:rPr>
          <w:color w:val="000000"/>
          <w:sz w:val="16"/>
        </w:rPr>
        <w:t xml:space="preserve"> amendments during programming period. With each new request for transfer, a </w:t>
      </w:r>
      <w:proofErr w:type="spellStart"/>
      <w:r>
        <w:rPr>
          <w:color w:val="000000"/>
          <w:sz w:val="16"/>
        </w:rPr>
        <w:t>programme</w:t>
      </w:r>
      <w:proofErr w:type="spellEnd"/>
      <w:r>
        <w:rPr>
          <w:color w:val="000000"/>
          <w:sz w:val="16"/>
        </w:rPr>
        <w:t xml:space="preserve"> amendment shall set out the total amounts transferred for each year by Fund and by category of region.</w:t>
      </w:r>
    </w:p>
    <w:p w14:paraId="03DE8C8D" w14:textId="77777777" w:rsidR="00A77B3E" w:rsidRDefault="00A77B3E">
      <w:pPr>
        <w:spacing w:before="100"/>
        <w:rPr>
          <w:color w:val="000000"/>
          <w:sz w:val="16"/>
        </w:rPr>
      </w:pPr>
    </w:p>
    <w:p w14:paraId="0BC2BE6A" w14:textId="77777777" w:rsidR="00A77B3E" w:rsidRDefault="00000000">
      <w:pPr>
        <w:pStyle w:val="Heading2"/>
        <w:spacing w:before="100" w:after="0"/>
        <w:rPr>
          <w:rFonts w:ascii="TimesNewRoman" w:eastAsia="TimesNewRoman" w:hAnsi="TimesNewRoman" w:cs="TimesNewRoman"/>
          <w:b w:val="0"/>
          <w:i w:val="0"/>
          <w:color w:val="000000"/>
          <w:sz w:val="24"/>
        </w:rPr>
      </w:pPr>
      <w:r>
        <w:rPr>
          <w:rFonts w:ascii="Times New Roman" w:hAnsi="Times New Roman" w:cs="Times New Roman"/>
          <w:b w:val="0"/>
          <w:i w:val="0"/>
          <w:color w:val="000000"/>
          <w:sz w:val="24"/>
        </w:rPr>
        <w:br w:type="page"/>
      </w:r>
      <w:bookmarkStart w:id="131" w:name="_Toc256000288"/>
      <w:r>
        <w:rPr>
          <w:rFonts w:ascii="TimesNewRoman" w:eastAsia="TimesNewRoman" w:hAnsi="TimesNewRoman" w:cs="TimesNewRoman"/>
          <w:b w:val="0"/>
          <w:i w:val="0"/>
          <w:color w:val="000000"/>
          <w:sz w:val="24"/>
        </w:rPr>
        <w:lastRenderedPageBreak/>
        <w:t>3.5. Financial appropriations by year</w:t>
      </w:r>
      <w:bookmarkEnd w:id="131"/>
    </w:p>
    <w:p w14:paraId="490F9D08" w14:textId="77777777" w:rsidR="00A77B3E" w:rsidRDefault="00A77B3E">
      <w:pPr>
        <w:spacing w:before="100"/>
        <w:rPr>
          <w:rFonts w:ascii="TimesNewRoman" w:eastAsia="TimesNewRoman" w:hAnsi="TimesNewRoman" w:cs="TimesNewRoman"/>
          <w:color w:val="000000"/>
          <w:sz w:val="12"/>
        </w:rPr>
      </w:pPr>
    </w:p>
    <w:p w14:paraId="7708226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Reference: point (g)(</w:t>
      </w:r>
      <w:proofErr w:type="spellStart"/>
      <w:r>
        <w:rPr>
          <w:rFonts w:ascii="TimesNewRoman" w:eastAsia="TimesNewRoman" w:hAnsi="TimesNewRoman" w:cs="TimesNewRoman"/>
          <w:color w:val="000000"/>
        </w:rPr>
        <w:t>i</w:t>
      </w:r>
      <w:proofErr w:type="spellEnd"/>
      <w:r>
        <w:rPr>
          <w:rFonts w:ascii="TimesNewRoman" w:eastAsia="TimesNewRoman" w:hAnsi="TimesNewRoman" w:cs="TimesNewRoman"/>
          <w:color w:val="000000"/>
        </w:rPr>
        <w:t>) of Article 22(3) CPR and Article 3, 4 and 7 JTF Regulation</w:t>
      </w:r>
    </w:p>
    <w:p w14:paraId="0E1CDC35" w14:textId="77777777" w:rsidR="00A77B3E" w:rsidRDefault="00000000">
      <w:pPr>
        <w:pStyle w:val="Heading4"/>
        <w:spacing w:before="100" w:after="0"/>
        <w:rPr>
          <w:rFonts w:ascii="TimesNewRoman" w:eastAsia="TimesNewRoman" w:hAnsi="TimesNewRoman" w:cs="TimesNewRoman"/>
          <w:b w:val="0"/>
          <w:color w:val="000000"/>
          <w:sz w:val="24"/>
        </w:rPr>
      </w:pPr>
      <w:bookmarkStart w:id="132" w:name="_Toc256000289"/>
      <w:r>
        <w:rPr>
          <w:rFonts w:ascii="TimesNewRoman" w:eastAsia="TimesNewRoman" w:hAnsi="TimesNewRoman" w:cs="TimesNewRoman"/>
          <w:b w:val="0"/>
          <w:color w:val="000000"/>
          <w:sz w:val="24"/>
        </w:rPr>
        <w:t>Table 10: Financial appropriations by year</w:t>
      </w:r>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516"/>
        <w:gridCol w:w="1214"/>
        <w:gridCol w:w="1214"/>
        <w:gridCol w:w="1214"/>
        <w:gridCol w:w="1214"/>
        <w:gridCol w:w="1214"/>
        <w:gridCol w:w="1214"/>
        <w:gridCol w:w="1214"/>
        <w:gridCol w:w="1214"/>
        <w:gridCol w:w="1214"/>
        <w:gridCol w:w="1214"/>
      </w:tblGrid>
      <w:tr w:rsidR="00B82D50" w14:paraId="0866F406" w14:textId="77777777">
        <w:trPr>
          <w:tblHeader/>
        </w:trPr>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4388A71"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Fund</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823B279"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Category of region</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827FE2"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2021</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70D639"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2022</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D7095F"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2023</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8F51FC"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2024</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D490D88"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2025</w:t>
            </w:r>
          </w:p>
        </w:tc>
        <w:tc>
          <w:tcPr>
            <w:tcW w:w="24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990434"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2026</w:t>
            </w:r>
          </w:p>
        </w:tc>
        <w:tc>
          <w:tcPr>
            <w:tcW w:w="24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7432B03"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2027</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D5F00C"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Total</w:t>
            </w:r>
          </w:p>
        </w:tc>
      </w:tr>
      <w:tr w:rsidR="00B82D50" w14:paraId="0C00117F" w14:textId="77777777">
        <w:trPr>
          <w:tblHeader/>
        </w:trPr>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AC40CD" w14:textId="77777777" w:rsidR="00A77B3E" w:rsidRDefault="00A77B3E">
            <w:pPr>
              <w:spacing w:before="100"/>
              <w:jc w:val="center"/>
              <w:rPr>
                <w:rFonts w:ascii="TimesNewRoman" w:eastAsia="TimesNewRoman" w:hAnsi="TimesNewRoman" w:cs="TimesNewRoman"/>
                <w:color w:val="000000"/>
                <w:sz w:val="10"/>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3EE246" w14:textId="77777777" w:rsidR="00A77B3E" w:rsidRDefault="00A77B3E">
            <w:pPr>
              <w:spacing w:before="100"/>
              <w:jc w:val="center"/>
              <w:rPr>
                <w:rFonts w:ascii="TimesNewRoman" w:eastAsia="TimesNewRoman" w:hAnsi="TimesNewRoman" w:cs="TimesNewRoman"/>
                <w:color w:val="000000"/>
                <w:sz w:val="10"/>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7B5D30" w14:textId="77777777" w:rsidR="00A77B3E" w:rsidRDefault="00A77B3E">
            <w:pPr>
              <w:spacing w:before="100"/>
              <w:jc w:val="center"/>
              <w:rPr>
                <w:rFonts w:ascii="TimesNewRoman" w:eastAsia="TimesNewRoman" w:hAnsi="TimesNewRoman" w:cs="TimesNewRoman"/>
                <w:color w:val="000000"/>
                <w:sz w:val="10"/>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B2D866" w14:textId="77777777" w:rsidR="00A77B3E" w:rsidRDefault="00A77B3E">
            <w:pPr>
              <w:spacing w:before="100"/>
              <w:jc w:val="center"/>
              <w:rPr>
                <w:rFonts w:ascii="TimesNewRoman" w:eastAsia="TimesNewRoman" w:hAnsi="TimesNewRoman" w:cs="TimesNewRoman"/>
                <w:color w:val="000000"/>
                <w:sz w:val="10"/>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24925A" w14:textId="77777777" w:rsidR="00A77B3E" w:rsidRDefault="00A77B3E">
            <w:pPr>
              <w:spacing w:before="100"/>
              <w:jc w:val="center"/>
              <w:rPr>
                <w:rFonts w:ascii="TimesNewRoman" w:eastAsia="TimesNewRoman" w:hAnsi="TimesNewRoman" w:cs="TimesNewRoman"/>
                <w:color w:val="000000"/>
                <w:sz w:val="10"/>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B0F639C" w14:textId="77777777" w:rsidR="00A77B3E" w:rsidRDefault="00A77B3E">
            <w:pPr>
              <w:spacing w:before="100"/>
              <w:jc w:val="center"/>
              <w:rPr>
                <w:rFonts w:ascii="TimesNewRoman" w:eastAsia="TimesNewRoman" w:hAnsi="TimesNewRoman" w:cs="TimesNewRoman"/>
                <w:color w:val="000000"/>
                <w:sz w:val="10"/>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86D1424" w14:textId="77777777" w:rsidR="00A77B3E" w:rsidRDefault="00A77B3E">
            <w:pPr>
              <w:spacing w:before="100"/>
              <w:jc w:val="center"/>
              <w:rPr>
                <w:rFonts w:ascii="TimesNewRoman" w:eastAsia="TimesNewRoman" w:hAnsi="TimesNewRoman" w:cs="TimesNewRoman"/>
                <w:color w:val="000000"/>
                <w:sz w:val="10"/>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AA72F5"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Financial appropriation without flexibility amount</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508FE96"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Flexibility amount</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1BBBAD"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Financial appropriation without flexibility amount</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FBA700"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Flexibility amount</w:t>
            </w: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428BF5" w14:textId="77777777" w:rsidR="00A77B3E" w:rsidRDefault="00A77B3E">
            <w:pPr>
              <w:spacing w:before="100"/>
              <w:jc w:val="center"/>
              <w:rPr>
                <w:rFonts w:ascii="TimesNewRoman" w:eastAsia="TimesNewRoman" w:hAnsi="TimesNewRoman" w:cs="TimesNewRoman"/>
                <w:color w:val="000000"/>
                <w:sz w:val="10"/>
              </w:rPr>
            </w:pPr>
          </w:p>
        </w:tc>
      </w:tr>
      <w:tr w:rsidR="00B82D50" w14:paraId="784E4A0F" w14:textId="77777777">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9ABE04B"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C88F10"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252F5C" w14:textId="77777777" w:rsidR="00A77B3E" w:rsidRDefault="00A77B3E">
            <w:pPr>
              <w:spacing w:before="100"/>
              <w:jc w:val="right"/>
              <w:rPr>
                <w:rFonts w:ascii="TimesNewRoman" w:eastAsia="TimesNewRoman" w:hAnsi="TimesNewRoman" w:cs="TimesNewRoman"/>
                <w:color w:val="000000"/>
                <w:sz w:val="10"/>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96880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44,762,340.00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ED69C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45,547,559.00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00E7F0"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46,348,811.00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CED5C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47,166,082.00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1ECFDB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19,200,597.00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CEA3C2"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19,200,597.00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6D257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21,625,748.00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44085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21,625,748.00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01134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265,477,482.00</w:t>
            </w:r>
          </w:p>
        </w:tc>
      </w:tr>
      <w:tr w:rsidR="00B82D50" w14:paraId="78B31DDB" w14:textId="77777777">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7C2086"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Total ERDF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F8B748" w14:textId="77777777" w:rsidR="00A77B3E" w:rsidRDefault="00A77B3E">
            <w:pPr>
              <w:spacing w:before="100"/>
              <w:rPr>
                <w:rFonts w:ascii="TimesNewRoman" w:eastAsia="TimesNewRoman" w:hAnsi="TimesNewRoman" w:cs="TimesNewRoman"/>
                <w:color w:val="000000"/>
                <w:sz w:val="10"/>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9C0FB6" w14:textId="77777777" w:rsidR="00A77B3E" w:rsidRDefault="00A77B3E">
            <w:pPr>
              <w:spacing w:before="100"/>
              <w:jc w:val="right"/>
              <w:rPr>
                <w:rFonts w:ascii="TimesNewRoman" w:eastAsia="TimesNewRoman" w:hAnsi="TimesNewRoman" w:cs="TimesNewRoman"/>
                <w:color w:val="000000"/>
                <w:sz w:val="10"/>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1388B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44,762,340.00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06FC466"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45,547,559.00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CE253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46,348,811.00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76969C"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47,166,082.00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7CA5A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19,200,597.00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EAEBD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19,200,597.00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66E64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21,625,748.00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9D3B10"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21,625,748.00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EFA5A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265,477,482.00</w:t>
            </w:r>
          </w:p>
        </w:tc>
      </w:tr>
      <w:tr w:rsidR="00B82D50" w14:paraId="59CC74E3" w14:textId="77777777">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8D561E"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Total</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2D849A" w14:textId="77777777" w:rsidR="00A77B3E" w:rsidRDefault="00A77B3E">
            <w:pPr>
              <w:spacing w:before="100"/>
              <w:rPr>
                <w:rFonts w:ascii="TimesNewRoman" w:eastAsia="TimesNewRoman" w:hAnsi="TimesNewRoman" w:cs="TimesNewRoman"/>
                <w:color w:val="000000"/>
                <w:sz w:val="10"/>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4501A1" w14:textId="77777777" w:rsidR="00A77B3E" w:rsidRDefault="00A77B3E">
            <w:pPr>
              <w:spacing w:before="100"/>
              <w:jc w:val="right"/>
              <w:rPr>
                <w:rFonts w:ascii="TimesNewRoman" w:eastAsia="TimesNewRoman" w:hAnsi="TimesNewRoman" w:cs="TimesNewRoman"/>
                <w:color w:val="000000"/>
                <w:sz w:val="10"/>
              </w:rPr>
            </w:pP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5C56B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44,762,340.00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78043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45,547,559.00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46D2B4"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46,348,811.00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0E0E9F"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47,166,082.00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053AB53"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19,200,597.00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E06684"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19,200,597.00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C9CE3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21,625,748.00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F8DBE9"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21,625,748.00</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1961DF"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265,477,482.00</w:t>
            </w:r>
          </w:p>
        </w:tc>
      </w:tr>
    </w:tbl>
    <w:p w14:paraId="13AD103E"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 Amounts after the complementary transfer to the JTF.</w:t>
      </w:r>
    </w:p>
    <w:p w14:paraId="7154E3F3" w14:textId="77777777" w:rsidR="00A77B3E" w:rsidRDefault="00000000">
      <w:pPr>
        <w:pStyle w:val="Heading2"/>
        <w:spacing w:before="100" w:after="0"/>
        <w:rPr>
          <w:rFonts w:ascii="TimesNewRoman" w:eastAsia="TimesNewRoman" w:hAnsi="TimesNewRoman" w:cs="TimesNewRoman"/>
          <w:b w:val="0"/>
          <w:i w:val="0"/>
          <w:color w:val="000000"/>
          <w:sz w:val="24"/>
        </w:rPr>
      </w:pPr>
      <w:r>
        <w:rPr>
          <w:rFonts w:ascii="TimesNewRoman" w:eastAsia="TimesNewRoman" w:hAnsi="TimesNewRoman" w:cs="TimesNewRoman"/>
          <w:b w:val="0"/>
          <w:i w:val="0"/>
          <w:color w:val="000000"/>
          <w:sz w:val="24"/>
        </w:rPr>
        <w:br w:type="page"/>
      </w:r>
      <w:bookmarkStart w:id="133" w:name="_Toc256000290"/>
      <w:r>
        <w:rPr>
          <w:rFonts w:ascii="TimesNewRoman" w:eastAsia="TimesNewRoman" w:hAnsi="TimesNewRoman" w:cs="TimesNewRoman"/>
          <w:b w:val="0"/>
          <w:i w:val="0"/>
          <w:color w:val="000000"/>
          <w:sz w:val="24"/>
        </w:rPr>
        <w:lastRenderedPageBreak/>
        <w:t>3.6. Total financial appropriations by fund and national co-financing</w:t>
      </w:r>
      <w:bookmarkEnd w:id="133"/>
    </w:p>
    <w:p w14:paraId="60B9E1C7" w14:textId="77777777" w:rsidR="00A77B3E" w:rsidRDefault="00A77B3E">
      <w:pPr>
        <w:spacing w:before="100"/>
        <w:rPr>
          <w:rFonts w:ascii="TimesNewRoman" w:eastAsia="TimesNewRoman" w:hAnsi="TimesNewRoman" w:cs="TimesNewRoman"/>
          <w:color w:val="000000"/>
        </w:rPr>
      </w:pPr>
    </w:p>
    <w:p w14:paraId="56177CE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Reference: point (g)(ii) of Article 22(3), Article 22(6) and Article 36 CPR</w:t>
      </w:r>
    </w:p>
    <w:p w14:paraId="5E1FECE1" w14:textId="77777777" w:rsidR="00A77B3E" w:rsidRDefault="00A77B3E">
      <w:pPr>
        <w:spacing w:before="100"/>
        <w:rPr>
          <w:rFonts w:ascii="TimesNewRoman" w:eastAsia="TimesNewRoman" w:hAnsi="TimesNewRoman" w:cs="TimesNewRoman"/>
          <w:color w:val="000000"/>
          <w:sz w:val="0"/>
        </w:rPr>
      </w:pPr>
    </w:p>
    <w:p w14:paraId="09CF65B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For the Investment for jobs and growth goal: programmes using technical assistance according to Article 36(5) CPR in accordance with the choice made in the Partnership Agreement</w:t>
      </w:r>
    </w:p>
    <w:p w14:paraId="747D8ECB" w14:textId="77777777" w:rsidR="00A77B3E" w:rsidRDefault="00000000">
      <w:pPr>
        <w:pStyle w:val="Heading4"/>
        <w:spacing w:before="100" w:after="0"/>
        <w:rPr>
          <w:rFonts w:ascii="TimesNewRoman" w:eastAsia="TimesNewRoman" w:hAnsi="TimesNewRoman" w:cs="TimesNewRoman"/>
          <w:b w:val="0"/>
          <w:color w:val="000000"/>
          <w:sz w:val="24"/>
        </w:rPr>
      </w:pPr>
      <w:bookmarkStart w:id="134" w:name="_Toc256000291"/>
      <w:r>
        <w:rPr>
          <w:rFonts w:ascii="TimesNewRoman" w:eastAsia="TimesNewRoman" w:hAnsi="TimesNewRoman" w:cs="TimesNewRoman"/>
          <w:b w:val="0"/>
          <w:color w:val="000000"/>
          <w:sz w:val="24"/>
        </w:rPr>
        <w:t>Table 11: Total financial allocations by fund and national contribution</w:t>
      </w:r>
      <w:bookmarkEnd w:id="134"/>
    </w:p>
    <w:p w14:paraId="0FDBEAE0" w14:textId="77777777" w:rsidR="00A77B3E" w:rsidRDefault="00A77B3E">
      <w:pPr>
        <w:spacing w:before="100"/>
        <w:rPr>
          <w:rFonts w:ascii="TimesNewRoman" w:eastAsia="TimesNewRoman" w:hAnsi="TimesNewRoman" w:cs="TimesNewRoman"/>
          <w:color w:val="000000"/>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12"/>
        <w:gridCol w:w="1012"/>
        <w:gridCol w:w="1012"/>
        <w:gridCol w:w="1012"/>
        <w:gridCol w:w="1012"/>
        <w:gridCol w:w="1012"/>
        <w:gridCol w:w="1011"/>
        <w:gridCol w:w="1011"/>
        <w:gridCol w:w="1011"/>
        <w:gridCol w:w="1011"/>
        <w:gridCol w:w="1011"/>
        <w:gridCol w:w="1011"/>
        <w:gridCol w:w="1011"/>
        <w:gridCol w:w="1011"/>
      </w:tblGrid>
      <w:tr w:rsidR="00B82D50" w14:paraId="6EED81F2" w14:textId="77777777">
        <w:trPr>
          <w:tblHeader/>
        </w:trPr>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2CE40DC"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Policy / JTF specific objective number or technical assistance</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D9AF537"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Priority</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BE08C9"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Basis for calculation Union support (total eligible cost or public contribution)</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163F4A4"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Fund</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AD0788"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Category of region*</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306989E"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Union contribution (a)=(b)+(c)+(</w:t>
            </w:r>
            <w:proofErr w:type="spellStart"/>
            <w:r>
              <w:rPr>
                <w:rFonts w:ascii="TimesNewRoman" w:eastAsia="TimesNewRoman" w:hAnsi="TimesNewRoman" w:cs="TimesNewRoman"/>
                <w:color w:val="000000"/>
                <w:sz w:val="10"/>
              </w:rPr>
              <w:t>i</w:t>
            </w:r>
            <w:proofErr w:type="spellEnd"/>
            <w:r>
              <w:rPr>
                <w:rFonts w:ascii="TimesNewRoman" w:eastAsia="TimesNewRoman" w:hAnsi="TimesNewRoman" w:cs="TimesNewRoman"/>
                <w:color w:val="000000"/>
                <w:sz w:val="10"/>
              </w:rPr>
              <w:t>)+(j)</w:t>
            </w:r>
          </w:p>
        </w:tc>
        <w:tc>
          <w:tcPr>
            <w:tcW w:w="4000" w:type="dxa"/>
            <w:gridSpan w:val="4"/>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F199F51"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Breakdown of Union contribution</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01CFEE"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National contribution (d)=(e)+(f)</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92875A"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Indicative breakdown of national contribution</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5F2969"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Total (g)=(a)+(d)</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6C4974E"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Co-financing rate (h)=(a)/(g)</w:t>
            </w:r>
          </w:p>
        </w:tc>
      </w:tr>
      <w:tr w:rsidR="00B82D50" w14:paraId="79CB6B34" w14:textId="77777777">
        <w:trPr>
          <w:tblHeader/>
        </w:trPr>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9F0F6F"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1FEC2A"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B3F51A"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ACECB61"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5CEF0D"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4BA303" w14:textId="77777777" w:rsidR="00A77B3E" w:rsidRDefault="00A77B3E">
            <w:pPr>
              <w:spacing w:before="100"/>
              <w:jc w:val="center"/>
              <w:rPr>
                <w:rFonts w:ascii="TimesNewRoman" w:eastAsia="TimesNewRoman" w:hAnsi="TimesNewRoman" w:cs="TimesNewRoman"/>
                <w:color w:val="000000"/>
                <w:sz w:val="10"/>
              </w:rPr>
            </w:pP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B96309"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Union contribution</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D192BE7"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Flexibility amount</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B642BD" w14:textId="77777777" w:rsidR="00A77B3E" w:rsidRDefault="00A77B3E">
            <w:pPr>
              <w:spacing w:before="100"/>
              <w:jc w:val="center"/>
              <w:rPr>
                <w:rFonts w:ascii="TimesNewRoman" w:eastAsia="TimesNewRoman" w:hAnsi="TimesNewRoman" w:cs="TimesNewRoman"/>
                <w:color w:val="000000"/>
                <w:sz w:val="1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2B3662"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Public (e)</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4D232C1"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Private (f)</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F1F858"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3D126D4" w14:textId="77777777" w:rsidR="00A77B3E" w:rsidRDefault="00A77B3E">
            <w:pPr>
              <w:spacing w:before="100"/>
              <w:jc w:val="center"/>
              <w:rPr>
                <w:rFonts w:ascii="TimesNewRoman" w:eastAsia="TimesNewRoman" w:hAnsi="TimesNewRoman" w:cs="TimesNewRoman"/>
                <w:color w:val="000000"/>
                <w:sz w:val="10"/>
              </w:rPr>
            </w:pPr>
          </w:p>
        </w:tc>
      </w:tr>
      <w:tr w:rsidR="00B82D50" w14:paraId="3B7D8AAB" w14:textId="77777777">
        <w:trPr>
          <w:tblHeader/>
        </w:trPr>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BDCA214"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429A3B"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238F6A"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41C85F"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1B0CFCF"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721163C"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B5ED410"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without technical assistance pursuant to Article 36(5)</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FA429A"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for technical assistance pursuant to Article 36(5)</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D9F126"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without technical assistance pursuant to Article 36(5)</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A052B87"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for technical assistance pursuant to Article 36(5)</w:t>
            </w: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363A318"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74D3BE"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CEBFBF6"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42DE155" w14:textId="77777777" w:rsidR="00A77B3E" w:rsidRDefault="00A77B3E">
            <w:pPr>
              <w:spacing w:before="100"/>
              <w:jc w:val="center"/>
              <w:rPr>
                <w:rFonts w:ascii="TimesNewRoman" w:eastAsia="TimesNewRoman" w:hAnsi="TimesNewRoman" w:cs="TimesNewRoman"/>
                <w:color w:val="000000"/>
                <w:sz w:val="1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F2A7956" w14:textId="77777777" w:rsidR="00A77B3E" w:rsidRDefault="00A77B3E">
            <w:pPr>
              <w:spacing w:before="100"/>
              <w:jc w:val="center"/>
              <w:rPr>
                <w:rFonts w:ascii="TimesNewRoman" w:eastAsia="TimesNewRoman" w:hAnsi="TimesNewRoman" w:cs="TimesNewRoman"/>
                <w:color w:val="000000"/>
                <w:sz w:val="10"/>
              </w:rPr>
            </w:pPr>
          </w:p>
        </w:tc>
      </w:tr>
      <w:tr w:rsidR="00B82D50" w14:paraId="58615FAC" w14:textId="77777777">
        <w:trPr>
          <w:tblHeader/>
        </w:trPr>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3DA553"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FC4DE0"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44535B"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B3EA0C0"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A9C5A8"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10AB0C"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7EF694"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(b)</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C6521F"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495E9C"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w:t>
            </w:r>
            <w:proofErr w:type="spellStart"/>
            <w:r>
              <w:rPr>
                <w:rFonts w:ascii="TimesNewRoman" w:eastAsia="TimesNewRoman" w:hAnsi="TimesNewRoman" w:cs="TimesNewRoman"/>
                <w:color w:val="000000"/>
                <w:sz w:val="10"/>
              </w:rPr>
              <w:t>i</w:t>
            </w:r>
            <w:proofErr w:type="spellEnd"/>
            <w:r>
              <w:rPr>
                <w:rFonts w:ascii="TimesNewRoman" w:eastAsia="TimesNewRoman" w:hAnsi="TimesNewRoman" w:cs="TimesNewRoman"/>
                <w:color w:val="000000"/>
                <w:sz w:val="10"/>
              </w:rPr>
              <w: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BF3701" w14:textId="77777777" w:rsidR="00A77B3E" w:rsidRDefault="00000000">
            <w:pPr>
              <w:spacing w:before="100"/>
              <w:jc w:val="center"/>
              <w:rPr>
                <w:rFonts w:ascii="TimesNewRoman" w:eastAsia="TimesNewRoman" w:hAnsi="TimesNewRoman" w:cs="TimesNewRoman"/>
                <w:color w:val="000000"/>
                <w:sz w:val="10"/>
              </w:rPr>
            </w:pPr>
            <w:r>
              <w:rPr>
                <w:rFonts w:ascii="TimesNewRoman" w:eastAsia="TimesNewRoman" w:hAnsi="TimesNewRoman" w:cs="TimesNewRoman"/>
                <w:color w:val="000000"/>
                <w:sz w:val="10"/>
              </w:rPr>
              <w:t>(j)</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9ADDAE8"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B3E34E"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923E5E7"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379C19" w14:textId="77777777" w:rsidR="00A77B3E" w:rsidRDefault="00A77B3E">
            <w:pPr>
              <w:spacing w:before="100"/>
              <w:jc w:val="center"/>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6C2202" w14:textId="77777777" w:rsidR="00A77B3E" w:rsidRDefault="00A77B3E">
            <w:pPr>
              <w:spacing w:before="100"/>
              <w:jc w:val="center"/>
              <w:rPr>
                <w:rFonts w:ascii="TimesNewRoman" w:eastAsia="TimesNewRoman" w:hAnsi="TimesNewRoman" w:cs="TimesNewRoman"/>
                <w:color w:val="000000"/>
                <w:sz w:val="10"/>
              </w:rPr>
            </w:pPr>
          </w:p>
        </w:tc>
      </w:tr>
      <w:tr w:rsidR="00B82D50" w14:paraId="350E21FD"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A02520"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CBCF5B8"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SEM5</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2B7D6B"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Public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774917"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3BBB50"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8DE299"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11,447,999.00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AEF0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10,800,000.00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F1E65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647,999.00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1F8EC5"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B5079C"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1E92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17,172,000.00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8B46C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17,172,000.00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271B8D"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58F99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28,619,999.00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6B079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39.9999979036%</w:t>
            </w:r>
          </w:p>
        </w:tc>
      </w:tr>
      <w:tr w:rsidR="00B82D50" w14:paraId="4E027C69"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3AB85B"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BF65E8"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SEM1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B55004"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Public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CBA863"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07860C"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AE816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104,346,017.00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A64C5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98,439,639.00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CC7BB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5,906,378.00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9B376A5"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DB7D3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60A38C"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156,519,026.00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6ED42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156,519,026.00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CEA388"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646270"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260,865,043.00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72127D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39.9999999233%</w:t>
            </w:r>
          </w:p>
        </w:tc>
      </w:tr>
      <w:tr w:rsidR="00B82D50" w14:paraId="2F509F60"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6B9432"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212A04"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SEM4</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55ABD9"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Public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AEA036"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45258A"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BDE49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25,440,000.00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F75D4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3,288,648.00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C35B1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197,319.00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8B6963"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20,711,353.00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56CC90"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1,242,680.00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F282B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38,160,000.00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8E38A5"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38,160,000.00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31FDD52"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7A624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63,600,000.00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198002"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40.0000000000%</w:t>
            </w:r>
          </w:p>
        </w:tc>
      </w:tr>
      <w:tr w:rsidR="00B82D50" w14:paraId="551BEED1"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FEE6C3"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E7AC38"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SEM2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C6B0F8"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Public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7FDEA7"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8D8E39"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960D94"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84,421,844.00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93BDA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67,395,345.00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E0B10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4,043,719.00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F413E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12,247,905.00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ACBE9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734,875.00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1884B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126,632,768.00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A9375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126,632,768.00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BD58BB"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01BA06"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211,054,612.00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4A6BF2"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39.9999996210%</w:t>
            </w:r>
          </w:p>
        </w:tc>
      </w:tr>
      <w:tr w:rsidR="00B82D50" w14:paraId="14EFE561"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A5A1D7"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5</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3E8DC0"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SEM3</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6D0ADA7"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Public</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A2D4A2"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C41315"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1CEA5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39,821,622.00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57D48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32,011,406.00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819B69"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1,920,684.00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333C67D"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5,556,163.00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4527DD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333,369.00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B3093C"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59,732,436.00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7611FF"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59,732,436.00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9D3D41"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43A36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99,554,058.00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DFA5FE"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39.9999987946%</w:t>
            </w:r>
          </w:p>
        </w:tc>
      </w:tr>
      <w:tr w:rsidR="00B82D50" w14:paraId="68463F9E"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3F877D"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Total</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3DAAA9" w14:textId="77777777" w:rsidR="00A77B3E" w:rsidRDefault="00A77B3E">
            <w:pPr>
              <w:spacing w:before="100"/>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C916F2" w14:textId="77777777" w:rsidR="00A77B3E" w:rsidRDefault="00A77B3E">
            <w:pPr>
              <w:spacing w:before="100"/>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821DEC"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ERDF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C2E908"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More developed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72D350"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265,477,482.00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21843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211,935,038.00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D94DB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12,716,099.00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887B136"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38,515,421.00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A639E2"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2,310,924.00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078811"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398,216,230.00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FBBC7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398,216,230.00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7A9F63"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417799"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663,693,712.00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96123C"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39.9999995781%</w:t>
            </w:r>
          </w:p>
        </w:tc>
      </w:tr>
      <w:tr w:rsidR="00B82D50" w14:paraId="072D21F2"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037699"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Grand total</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E9C27F" w14:textId="77777777" w:rsidR="00A77B3E" w:rsidRDefault="00A77B3E">
            <w:pPr>
              <w:spacing w:before="100"/>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D73FBB" w14:textId="77777777" w:rsidR="00A77B3E" w:rsidRDefault="00A77B3E">
            <w:pPr>
              <w:spacing w:before="100"/>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B4A840" w14:textId="77777777" w:rsidR="00A77B3E" w:rsidRDefault="00A77B3E">
            <w:pPr>
              <w:spacing w:before="100"/>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A76561" w14:textId="77777777" w:rsidR="00A77B3E" w:rsidRDefault="00A77B3E">
            <w:pPr>
              <w:spacing w:before="100"/>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E93B0A"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265,477,482.00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8AD1C3"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211,935,038.00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E9E0B9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12,716,099.00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2F937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38,515,421.00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3946D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2,310,924.00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5FCE2B"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398,216,230.00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7531A5"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398,216,230.00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FE61AE" w14:textId="77777777" w:rsidR="00A77B3E" w:rsidRDefault="00A77B3E">
            <w:pPr>
              <w:spacing w:before="100"/>
              <w:jc w:val="right"/>
              <w:rPr>
                <w:rFonts w:ascii="TimesNewRoman" w:eastAsia="TimesNewRoman" w:hAnsi="TimesNewRoman" w:cs="TimesNewRoman"/>
                <w:color w:val="000000"/>
                <w:sz w:val="1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F628C7"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663,693,712.00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872898" w14:textId="77777777" w:rsidR="00A77B3E" w:rsidRDefault="00000000">
            <w:pPr>
              <w:spacing w:before="100"/>
              <w:jc w:val="right"/>
              <w:rPr>
                <w:rFonts w:ascii="TimesNewRoman" w:eastAsia="TimesNewRoman" w:hAnsi="TimesNewRoman" w:cs="TimesNewRoman"/>
                <w:color w:val="000000"/>
                <w:sz w:val="10"/>
              </w:rPr>
            </w:pPr>
            <w:r>
              <w:rPr>
                <w:rFonts w:ascii="TimesNewRoman" w:eastAsia="TimesNewRoman" w:hAnsi="TimesNewRoman" w:cs="TimesNewRoman"/>
                <w:color w:val="000000"/>
                <w:sz w:val="10"/>
              </w:rPr>
              <w:t>39.9999995781%</w:t>
            </w:r>
          </w:p>
        </w:tc>
      </w:tr>
    </w:tbl>
    <w:p w14:paraId="697BE268"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 For ERDF and ESF+: less developed, transition, more developed, and, where applicable special allocation for outermost and northern sparsely populated regions. For Cohesion Fund: not applicable. For technical assistance, application of categories of region depends on the selection of the fund.</w:t>
      </w:r>
    </w:p>
    <w:p w14:paraId="50A9910A" w14:textId="77777777" w:rsidR="00A77B3E" w:rsidRDefault="00000000">
      <w:pPr>
        <w:spacing w:before="100"/>
        <w:rPr>
          <w:rFonts w:ascii="TimesNewRoman" w:eastAsia="TimesNewRoman" w:hAnsi="TimesNewRoman" w:cs="TimesNewRoman"/>
          <w:color w:val="000000"/>
          <w:sz w:val="10"/>
        </w:rPr>
      </w:pPr>
      <w:r>
        <w:rPr>
          <w:rFonts w:ascii="TimesNewRoman" w:eastAsia="TimesNewRoman" w:hAnsi="TimesNewRoman" w:cs="TimesNewRoman"/>
          <w:color w:val="000000"/>
          <w:sz w:val="10"/>
        </w:rPr>
        <w:t>** Indicate the total JTF resources, including the complementary support transferred from the ERDF and the ESF+. The table shall not include the amounts in accordance to Article 7 JTF Regulation. In case of technical assistance financed from the JTF, the JTF resources should be split into resources related to Articles 3 and 4 JTF Regulation. For Article 4 JTF Regulation, there is no flexibility amount.</w:t>
      </w:r>
    </w:p>
    <w:p w14:paraId="142DFDA2" w14:textId="77777777" w:rsidR="00A77B3E" w:rsidRDefault="00A77B3E">
      <w:pPr>
        <w:spacing w:before="100"/>
        <w:rPr>
          <w:rFonts w:ascii="TimesNewRoman" w:eastAsia="TimesNewRoman" w:hAnsi="TimesNewRoman" w:cs="TimesNewRoman"/>
          <w:color w:val="000000"/>
          <w:sz w:val="10"/>
        </w:rPr>
        <w:sectPr w:rsidR="00A77B3E">
          <w:headerReference w:type="even" r:id="rId25"/>
          <w:headerReference w:type="default" r:id="rId26"/>
          <w:footerReference w:type="even" r:id="rId27"/>
          <w:footerReference w:type="default" r:id="rId28"/>
          <w:headerReference w:type="first" r:id="rId29"/>
          <w:footerReference w:type="first" r:id="rId30"/>
          <w:pgSz w:w="16838" w:h="11906" w:orient="landscape"/>
          <w:pgMar w:top="720" w:right="720" w:bottom="864" w:left="936" w:header="288" w:footer="72" w:gutter="0"/>
          <w:cols w:space="708"/>
          <w:noEndnote/>
          <w:docGrid w:linePitch="360"/>
        </w:sectPr>
      </w:pPr>
    </w:p>
    <w:p w14:paraId="4367F0E4" w14:textId="77777777" w:rsidR="00A77B3E" w:rsidRDefault="00000000">
      <w:pPr>
        <w:pStyle w:val="Heading1"/>
        <w:spacing w:before="100" w:after="0"/>
        <w:rPr>
          <w:rFonts w:ascii="Times New Roman" w:hAnsi="Times New Roman" w:cs="Times New Roman"/>
          <w:b w:val="0"/>
          <w:color w:val="000000"/>
          <w:sz w:val="24"/>
        </w:rPr>
      </w:pPr>
      <w:bookmarkStart w:id="135" w:name="_Toc256000292"/>
      <w:r>
        <w:rPr>
          <w:rFonts w:ascii="Times New Roman" w:hAnsi="Times New Roman" w:cs="Times New Roman"/>
          <w:b w:val="0"/>
          <w:color w:val="000000"/>
          <w:sz w:val="24"/>
        </w:rPr>
        <w:lastRenderedPageBreak/>
        <w:t>4. Enabling conditions</w:t>
      </w:r>
      <w:bookmarkEnd w:id="135"/>
    </w:p>
    <w:p w14:paraId="059127C9" w14:textId="77777777" w:rsidR="00A77B3E" w:rsidRDefault="00000000">
      <w:pPr>
        <w:spacing w:before="100"/>
        <w:rPr>
          <w:color w:val="000000"/>
          <w:sz w:val="0"/>
        </w:rPr>
      </w:pPr>
      <w:r>
        <w:rPr>
          <w:color w:val="000000"/>
        </w:rPr>
        <w:t>Reference: point (</w:t>
      </w:r>
      <w:proofErr w:type="spellStart"/>
      <w:r>
        <w:rPr>
          <w:color w:val="000000"/>
        </w:rPr>
        <w:t>i</w:t>
      </w:r>
      <w:proofErr w:type="spellEnd"/>
      <w:r>
        <w:rPr>
          <w:color w:val="000000"/>
        </w:rPr>
        <w:t>) of Article 22(3) CPR</w:t>
      </w:r>
    </w:p>
    <w:p w14:paraId="2CAFEC0A" w14:textId="77777777" w:rsidR="00A77B3E" w:rsidRDefault="00000000">
      <w:pPr>
        <w:spacing w:before="100"/>
        <w:rPr>
          <w:color w:val="000000"/>
        </w:rPr>
      </w:pPr>
      <w:r>
        <w:rPr>
          <w:color w:val="000000"/>
        </w:rPr>
        <w:t>Table 12: Enabling conditions</w:t>
      </w:r>
    </w:p>
    <w:p w14:paraId="73FF00F0" w14:textId="77777777" w:rsidR="00A77B3E" w:rsidRDefault="00A77B3E">
      <w:pPr>
        <w:spacing w:before="100"/>
        <w:rPr>
          <w:color w:val="000000"/>
          <w:sz w:val="1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0"/>
        <w:gridCol w:w="800"/>
        <w:gridCol w:w="1600"/>
        <w:gridCol w:w="1000"/>
        <w:gridCol w:w="2800"/>
        <w:gridCol w:w="1000"/>
        <w:gridCol w:w="3400"/>
        <w:gridCol w:w="3400"/>
      </w:tblGrid>
      <w:tr w:rsidR="00B82D50" w14:paraId="5D1DCE7E" w14:textId="77777777">
        <w:trPr>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D3F811" w14:textId="77777777" w:rsidR="00A77B3E" w:rsidRDefault="00000000">
            <w:pPr>
              <w:spacing w:before="100"/>
              <w:jc w:val="center"/>
              <w:rPr>
                <w:color w:val="000000"/>
                <w:sz w:val="20"/>
              </w:rPr>
            </w:pPr>
            <w:r>
              <w:rPr>
                <w:color w:val="000000"/>
                <w:sz w:val="20"/>
              </w:rPr>
              <w:t>Enabling condition</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E067D7" w14:textId="77777777" w:rsidR="00A77B3E" w:rsidRDefault="00000000">
            <w:pPr>
              <w:spacing w:before="100"/>
              <w:jc w:val="center"/>
              <w:rPr>
                <w:color w:val="000000"/>
                <w:sz w:val="20"/>
              </w:rPr>
            </w:pPr>
            <w:r>
              <w:rPr>
                <w:color w:val="000000"/>
                <w:sz w:val="20"/>
              </w:rPr>
              <w:t>Fund</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FC5768" w14:textId="77777777" w:rsidR="00A77B3E" w:rsidRDefault="00000000">
            <w:pPr>
              <w:spacing w:before="100"/>
              <w:jc w:val="center"/>
              <w:rPr>
                <w:color w:val="000000"/>
                <w:sz w:val="20"/>
              </w:rPr>
            </w:pPr>
            <w:r>
              <w:rPr>
                <w:color w:val="000000"/>
                <w:sz w:val="20"/>
              </w:rPr>
              <w:t>Specific objective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B20261" w14:textId="77777777" w:rsidR="00A77B3E" w:rsidRDefault="00000000">
            <w:pPr>
              <w:spacing w:before="100"/>
              <w:jc w:val="center"/>
              <w:rPr>
                <w:color w:val="000000"/>
                <w:sz w:val="20"/>
              </w:rPr>
            </w:pPr>
            <w:r>
              <w:rPr>
                <w:color w:val="000000"/>
                <w:sz w:val="20"/>
              </w:rPr>
              <w:t>Fulfilment of enabling condition</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81215A8" w14:textId="77777777" w:rsidR="00A77B3E" w:rsidRDefault="00000000">
            <w:pPr>
              <w:spacing w:before="100"/>
              <w:jc w:val="center"/>
              <w:rPr>
                <w:color w:val="000000"/>
                <w:sz w:val="20"/>
              </w:rPr>
            </w:pPr>
            <w:r>
              <w:rPr>
                <w:color w:val="000000"/>
                <w:sz w:val="20"/>
              </w:rPr>
              <w:t>Criteria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8D5C6BE" w14:textId="77777777" w:rsidR="00A77B3E" w:rsidRDefault="00000000">
            <w:pPr>
              <w:spacing w:before="100"/>
              <w:jc w:val="center"/>
              <w:rPr>
                <w:color w:val="000000"/>
                <w:sz w:val="20"/>
              </w:rPr>
            </w:pPr>
            <w:r>
              <w:rPr>
                <w:color w:val="000000"/>
                <w:sz w:val="20"/>
              </w:rPr>
              <w:t>Fulfilment of criteria</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363266" w14:textId="77777777" w:rsidR="00A77B3E" w:rsidRDefault="00000000">
            <w:pPr>
              <w:spacing w:before="100"/>
              <w:jc w:val="center"/>
              <w:rPr>
                <w:color w:val="000000"/>
                <w:sz w:val="20"/>
              </w:rPr>
            </w:pPr>
            <w:r>
              <w:rPr>
                <w:color w:val="000000"/>
                <w:sz w:val="20"/>
              </w:rPr>
              <w:t>Reference to relevant documents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63868EB" w14:textId="77777777" w:rsidR="00A77B3E" w:rsidRDefault="00000000">
            <w:pPr>
              <w:spacing w:before="100"/>
              <w:jc w:val="center"/>
              <w:rPr>
                <w:color w:val="000000"/>
                <w:sz w:val="20"/>
              </w:rPr>
            </w:pPr>
            <w:r>
              <w:rPr>
                <w:color w:val="000000"/>
                <w:sz w:val="20"/>
              </w:rPr>
              <w:t>Justification</w:t>
            </w:r>
          </w:p>
        </w:tc>
      </w:tr>
      <w:tr w:rsidR="00B82D50" w14:paraId="36C98FAE"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87B0C8" w14:textId="77777777" w:rsidR="00A77B3E" w:rsidRDefault="00000000">
            <w:pPr>
              <w:spacing w:before="100"/>
              <w:rPr>
                <w:color w:val="000000"/>
                <w:sz w:val="20"/>
              </w:rPr>
            </w:pPr>
            <w:r>
              <w:rPr>
                <w:color w:val="000000"/>
                <w:sz w:val="20"/>
              </w:rPr>
              <w:t>1. Effective monitoring mechanisms of the public procurement market</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95CFE7"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155DCA9"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FF1018" w14:textId="77777777" w:rsidR="00A77B3E" w:rsidRDefault="00000000">
            <w:pPr>
              <w:spacing w:before="100"/>
              <w:jc w:val="center"/>
              <w:rPr>
                <w:color w:val="000000"/>
                <w:sz w:val="20"/>
              </w:rPr>
            </w:pPr>
            <w:r>
              <w:rPr>
                <w:color w:val="000000"/>
                <w:sz w:val="20"/>
              </w:rPr>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19343F" w14:textId="77777777" w:rsidR="00A77B3E" w:rsidRDefault="00000000">
            <w:pPr>
              <w:spacing w:before="100"/>
              <w:rPr>
                <w:color w:val="000000"/>
                <w:sz w:val="20"/>
              </w:rPr>
            </w:pPr>
            <w:r>
              <w:rPr>
                <w:color w:val="000000"/>
                <w:sz w:val="20"/>
              </w:rPr>
              <w:t>Monitoring mechanisms are in place that cover all public contracts and their procurement under the Funds in line with Union procurement legislation. That requirement includes:</w:t>
            </w:r>
          </w:p>
          <w:p w14:paraId="12F63253" w14:textId="77777777" w:rsidR="00A77B3E" w:rsidRDefault="00000000">
            <w:pPr>
              <w:spacing w:before="100"/>
              <w:rPr>
                <w:color w:val="000000"/>
                <w:sz w:val="20"/>
              </w:rPr>
            </w:pPr>
            <w:r>
              <w:rPr>
                <w:color w:val="000000"/>
                <w:sz w:val="20"/>
              </w:rPr>
              <w:t>1. Arrangements to ensure compilation of effective and reliable data on public procurement procedures above the Union thresholds in accordance with reporting obligations under Articles 83 and 84 of Directive 2014/24/EU and Articles 99 and 100 of Directive 2014/25/EU.</w:t>
            </w:r>
          </w:p>
          <w:p w14:paraId="09F5610A" w14:textId="77777777" w:rsidR="00A77B3E" w:rsidRDefault="00A77B3E">
            <w:pPr>
              <w:spacing w:before="100"/>
              <w:rPr>
                <w:color w:val="000000"/>
                <w:sz w:val="2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9869AB"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1A7EF7" w14:textId="77777777" w:rsidR="00A77B3E" w:rsidRDefault="00000000">
            <w:pPr>
              <w:spacing w:before="100"/>
              <w:rPr>
                <w:color w:val="000000"/>
                <w:sz w:val="20"/>
              </w:rPr>
            </w:pPr>
            <w:r>
              <w:rPr>
                <w:color w:val="000000"/>
                <w:sz w:val="20"/>
              </w:rPr>
              <w:t>National Public Procurement Policy Framework</w:t>
            </w:r>
          </w:p>
          <w:p w14:paraId="0A85AC44" w14:textId="77777777" w:rsidR="00A77B3E" w:rsidRDefault="00A77B3E">
            <w:pPr>
              <w:spacing w:before="100"/>
              <w:rPr>
                <w:color w:val="000000"/>
                <w:sz w:val="20"/>
              </w:rPr>
            </w:pPr>
          </w:p>
          <w:p w14:paraId="452E5AB6" w14:textId="77777777" w:rsidR="00A77B3E" w:rsidRDefault="00000000">
            <w:pPr>
              <w:spacing w:before="100"/>
              <w:rPr>
                <w:color w:val="000000"/>
                <w:sz w:val="20"/>
              </w:rPr>
            </w:pPr>
            <w:r>
              <w:rPr>
                <w:color w:val="000000"/>
                <w:sz w:val="20"/>
              </w:rPr>
              <w:t>https://ogp.gov.ie/national-public-procurement-policy-framework/</w:t>
            </w:r>
          </w:p>
          <w:p w14:paraId="1E5ABFD3" w14:textId="77777777" w:rsidR="00A77B3E" w:rsidRDefault="00A77B3E">
            <w:pPr>
              <w:spacing w:before="100"/>
              <w:rPr>
                <w:color w:val="000000"/>
                <w:sz w:val="20"/>
              </w:rPr>
            </w:pPr>
          </w:p>
          <w:p w14:paraId="1A7DD4FA" w14:textId="77777777" w:rsidR="00A77B3E" w:rsidRDefault="00000000">
            <w:pPr>
              <w:spacing w:before="100"/>
              <w:rPr>
                <w:color w:val="000000"/>
                <w:sz w:val="20"/>
              </w:rPr>
            </w:pPr>
            <w:r>
              <w:rPr>
                <w:color w:val="000000"/>
                <w:sz w:val="20"/>
              </w:rPr>
              <w:t>National Public Procurement Guidelines on Goods and Services</w:t>
            </w:r>
          </w:p>
          <w:p w14:paraId="68602DB2" w14:textId="77777777" w:rsidR="00A77B3E" w:rsidRDefault="00A77B3E">
            <w:pPr>
              <w:spacing w:before="100"/>
              <w:rPr>
                <w:color w:val="000000"/>
                <w:sz w:val="20"/>
              </w:rPr>
            </w:pPr>
          </w:p>
          <w:p w14:paraId="4CC5EC51" w14:textId="77777777" w:rsidR="00A77B3E" w:rsidRDefault="00000000">
            <w:pPr>
              <w:spacing w:before="100"/>
              <w:rPr>
                <w:color w:val="000000"/>
                <w:sz w:val="20"/>
              </w:rPr>
            </w:pPr>
            <w:r>
              <w:rPr>
                <w:color w:val="000000"/>
                <w:sz w:val="20"/>
              </w:rPr>
              <w:t>https://ogp.gov.ie/public-procurement-guidelines-for-goods-and-services/</w:t>
            </w:r>
          </w:p>
          <w:p w14:paraId="6007B36B" w14:textId="77777777" w:rsidR="00A77B3E" w:rsidRDefault="00000000">
            <w:pPr>
              <w:spacing w:before="100"/>
              <w:rPr>
                <w:color w:val="000000"/>
                <w:sz w:val="20"/>
              </w:rPr>
            </w:pPr>
            <w:r>
              <w:rPr>
                <w:color w:val="000000"/>
                <w:sz w:val="20"/>
              </w:rPr>
              <w:t>www.eTenders.gov.ie</w:t>
            </w:r>
          </w:p>
          <w:p w14:paraId="227B0177" w14:textId="77777777" w:rsidR="00A77B3E" w:rsidRDefault="00A77B3E">
            <w:pPr>
              <w:spacing w:before="100"/>
              <w:rPr>
                <w:color w:val="000000"/>
                <w:sz w:val="20"/>
              </w:rPr>
            </w:pPr>
          </w:p>
          <w:p w14:paraId="63F3F3CA" w14:textId="77777777" w:rsidR="00A77B3E" w:rsidRDefault="00000000">
            <w:pPr>
              <w:spacing w:before="100"/>
              <w:rPr>
                <w:color w:val="000000"/>
                <w:sz w:val="20"/>
              </w:rPr>
            </w:pPr>
            <w:r>
              <w:rPr>
                <w:color w:val="000000"/>
                <w:sz w:val="20"/>
              </w:rPr>
              <w:t>Capital Works Management Framework</w:t>
            </w:r>
          </w:p>
          <w:p w14:paraId="20DC8A1D" w14:textId="77777777" w:rsidR="00A77B3E" w:rsidRDefault="00A77B3E">
            <w:pPr>
              <w:spacing w:before="100"/>
              <w:rPr>
                <w:color w:val="000000"/>
                <w:sz w:val="20"/>
              </w:rPr>
            </w:pPr>
          </w:p>
          <w:p w14:paraId="47AB4C6E" w14:textId="77777777" w:rsidR="00A77B3E" w:rsidRDefault="00000000">
            <w:pPr>
              <w:spacing w:before="100"/>
              <w:rPr>
                <w:color w:val="000000"/>
                <w:sz w:val="20"/>
              </w:rPr>
            </w:pPr>
            <w:r>
              <w:rPr>
                <w:color w:val="000000"/>
                <w:sz w:val="20"/>
              </w:rPr>
              <w:t>https://constructionprocurement.gov.ie/</w:t>
            </w:r>
          </w:p>
          <w:p w14:paraId="11A00642" w14:textId="77777777" w:rsidR="00A77B3E" w:rsidRDefault="00A77B3E">
            <w:pPr>
              <w:spacing w:before="100"/>
              <w:rPr>
                <w:color w:val="000000"/>
                <w:sz w:val="20"/>
              </w:rPr>
            </w:pPr>
          </w:p>
          <w:p w14:paraId="431CD3D7" w14:textId="77777777" w:rsidR="00A77B3E" w:rsidRDefault="00000000">
            <w:pPr>
              <w:spacing w:before="100"/>
              <w:rPr>
                <w:color w:val="000000"/>
                <w:sz w:val="20"/>
              </w:rPr>
            </w:pPr>
            <w:r>
              <w:rPr>
                <w:color w:val="000000"/>
                <w:sz w:val="20"/>
              </w:rPr>
              <w:t xml:space="preserve">DPER circular 13/2015 </w:t>
            </w:r>
          </w:p>
          <w:p w14:paraId="43F7ABFB" w14:textId="77777777" w:rsidR="00A77B3E" w:rsidRDefault="00A77B3E">
            <w:pPr>
              <w:spacing w:before="100"/>
              <w:rPr>
                <w:color w:val="000000"/>
                <w:sz w:val="20"/>
              </w:rPr>
            </w:pPr>
          </w:p>
          <w:p w14:paraId="0F8DA3F6" w14:textId="77777777" w:rsidR="00A77B3E" w:rsidRDefault="00000000">
            <w:pPr>
              <w:spacing w:before="100"/>
              <w:rPr>
                <w:color w:val="000000"/>
                <w:sz w:val="20"/>
              </w:rPr>
            </w:pPr>
            <w:r>
              <w:rPr>
                <w:color w:val="000000"/>
                <w:sz w:val="20"/>
              </w:rPr>
              <w:t xml:space="preserve">https://www.gov.ie/en/circular/2b0103e70fec4127983d2c1e60e0546d/ </w:t>
            </w:r>
          </w:p>
          <w:p w14:paraId="47D7DDCC" w14:textId="77777777" w:rsidR="00A77B3E" w:rsidRDefault="00000000">
            <w:pPr>
              <w:spacing w:before="100"/>
              <w:rPr>
                <w:color w:val="000000"/>
                <w:sz w:val="20"/>
              </w:rPr>
            </w:pPr>
            <w:r>
              <w:rPr>
                <w:color w:val="000000"/>
                <w:sz w:val="20"/>
              </w:rPr>
              <w:t>This will be updated for 21-27 period.</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64B540" w14:textId="77777777" w:rsidR="00A77B3E" w:rsidRDefault="00000000">
            <w:pPr>
              <w:spacing w:before="100"/>
              <w:rPr>
                <w:color w:val="000000"/>
                <w:sz w:val="20"/>
              </w:rPr>
            </w:pPr>
            <w:r>
              <w:rPr>
                <w:color w:val="000000"/>
                <w:sz w:val="20"/>
              </w:rPr>
              <w:t>The Office of Government Procurement (OGP) has responsibility for developing and setting out the overarching policy framework for public procurement in Ireland.</w:t>
            </w:r>
          </w:p>
          <w:p w14:paraId="158A1F6F" w14:textId="77777777" w:rsidR="00A77B3E" w:rsidRDefault="00A77B3E">
            <w:pPr>
              <w:spacing w:before="100"/>
              <w:rPr>
                <w:color w:val="000000"/>
                <w:sz w:val="20"/>
              </w:rPr>
            </w:pPr>
          </w:p>
          <w:p w14:paraId="6EE4AE3A" w14:textId="77777777" w:rsidR="00A77B3E" w:rsidRDefault="00000000">
            <w:pPr>
              <w:spacing w:before="100"/>
              <w:rPr>
                <w:color w:val="000000"/>
                <w:sz w:val="20"/>
              </w:rPr>
            </w:pPr>
            <w:r>
              <w:rPr>
                <w:color w:val="000000"/>
                <w:sz w:val="20"/>
              </w:rPr>
              <w:t>The National Public Procurement Guidelines outline the responsibilities of contracting authorities to comply with monitoring and reporting arrangements in line with EU procurement legislation.</w:t>
            </w:r>
          </w:p>
          <w:p w14:paraId="55FCDD28" w14:textId="77777777" w:rsidR="00A77B3E" w:rsidRDefault="00A77B3E">
            <w:pPr>
              <w:spacing w:before="100"/>
              <w:rPr>
                <w:color w:val="000000"/>
                <w:sz w:val="20"/>
              </w:rPr>
            </w:pPr>
          </w:p>
          <w:p w14:paraId="60BD2B8F" w14:textId="77777777" w:rsidR="00A77B3E" w:rsidRDefault="00000000">
            <w:pPr>
              <w:spacing w:before="100"/>
              <w:rPr>
                <w:color w:val="000000"/>
                <w:sz w:val="20"/>
              </w:rPr>
            </w:pPr>
            <w:proofErr w:type="spellStart"/>
            <w:r>
              <w:rPr>
                <w:color w:val="000000"/>
                <w:sz w:val="20"/>
              </w:rPr>
              <w:t>eTenders</w:t>
            </w:r>
            <w:proofErr w:type="spellEnd"/>
            <w:r>
              <w:rPr>
                <w:color w:val="000000"/>
                <w:sz w:val="20"/>
              </w:rPr>
              <w:t xml:space="preserve"> provides a central facility for advertisement of procurement opportunities and award notices across the public sector which is reported on by OGP.</w:t>
            </w:r>
          </w:p>
          <w:p w14:paraId="543CF998" w14:textId="77777777" w:rsidR="00A77B3E" w:rsidRDefault="00A77B3E">
            <w:pPr>
              <w:spacing w:before="100"/>
              <w:rPr>
                <w:color w:val="000000"/>
                <w:sz w:val="20"/>
              </w:rPr>
            </w:pPr>
          </w:p>
          <w:p w14:paraId="42402498" w14:textId="77777777" w:rsidR="00A77B3E" w:rsidRDefault="00000000">
            <w:pPr>
              <w:spacing w:before="100"/>
              <w:rPr>
                <w:color w:val="000000"/>
                <w:sz w:val="20"/>
              </w:rPr>
            </w:pPr>
            <w:r>
              <w:rPr>
                <w:color w:val="000000"/>
                <w:sz w:val="20"/>
              </w:rPr>
              <w:t xml:space="preserve">The CWMF is an integrated set of contractual provisions, guidance material and technical procedures which covers all aspects of the delivery process of a public works project from inception to final project delivery and review. </w:t>
            </w:r>
          </w:p>
          <w:p w14:paraId="31C8B608" w14:textId="77777777" w:rsidR="00A77B3E" w:rsidRDefault="00A77B3E">
            <w:pPr>
              <w:spacing w:before="100"/>
              <w:rPr>
                <w:color w:val="000000"/>
                <w:sz w:val="20"/>
              </w:rPr>
            </w:pPr>
          </w:p>
          <w:p w14:paraId="7BFC3070" w14:textId="77777777" w:rsidR="00A77B3E" w:rsidRDefault="00000000">
            <w:pPr>
              <w:spacing w:before="100"/>
              <w:rPr>
                <w:color w:val="000000"/>
                <w:sz w:val="20"/>
              </w:rPr>
            </w:pPr>
            <w:r>
              <w:rPr>
                <w:color w:val="000000"/>
                <w:sz w:val="20"/>
              </w:rPr>
              <w:t xml:space="preserve">As is noted in DPER circular 13/2015 on management and control procedures for ESIF, Managing Authorities, Intermediate Bodies and Beneficiaries </w:t>
            </w:r>
            <w:r>
              <w:rPr>
                <w:color w:val="000000"/>
                <w:sz w:val="20"/>
              </w:rPr>
              <w:lastRenderedPageBreak/>
              <w:t xml:space="preserve">are responsible for ensuring that projects and operations are in compliance with Procurement Guidelines and EU legislation. </w:t>
            </w:r>
          </w:p>
          <w:p w14:paraId="14DB293C" w14:textId="77777777" w:rsidR="00A77B3E" w:rsidRDefault="00A77B3E">
            <w:pPr>
              <w:spacing w:before="100"/>
              <w:rPr>
                <w:color w:val="000000"/>
                <w:sz w:val="20"/>
              </w:rPr>
            </w:pPr>
          </w:p>
        </w:tc>
      </w:tr>
      <w:tr w:rsidR="00B82D50" w14:paraId="04A00AC1"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99D87B"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12D175"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FA4932"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D6FF3F"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0AE5F0" w14:textId="77777777" w:rsidR="00A77B3E" w:rsidRDefault="00000000">
            <w:pPr>
              <w:spacing w:before="100"/>
              <w:rPr>
                <w:color w:val="000000"/>
                <w:sz w:val="20"/>
              </w:rPr>
            </w:pPr>
            <w:r>
              <w:rPr>
                <w:color w:val="000000"/>
                <w:sz w:val="20"/>
              </w:rPr>
              <w:t xml:space="preserve">2. Arrangements to ensure the data cover at least the following elements: </w:t>
            </w:r>
          </w:p>
          <w:p w14:paraId="5E23D7B1" w14:textId="77777777" w:rsidR="00A77B3E" w:rsidRDefault="00000000">
            <w:pPr>
              <w:spacing w:before="100"/>
              <w:rPr>
                <w:color w:val="000000"/>
                <w:sz w:val="20"/>
              </w:rPr>
            </w:pPr>
            <w:r>
              <w:rPr>
                <w:color w:val="000000"/>
                <w:sz w:val="20"/>
              </w:rPr>
              <w:t xml:space="preserve">a. Quality and intensity of competition: names of winning bidder, number of initial bidders and contractual value; </w:t>
            </w:r>
          </w:p>
          <w:p w14:paraId="20168149" w14:textId="77777777" w:rsidR="00A77B3E" w:rsidRDefault="00000000">
            <w:pPr>
              <w:spacing w:before="100"/>
              <w:rPr>
                <w:color w:val="000000"/>
                <w:sz w:val="20"/>
              </w:rPr>
            </w:pPr>
            <w:r>
              <w:rPr>
                <w:color w:val="000000"/>
                <w:sz w:val="20"/>
              </w:rPr>
              <w:t>b. Information on final price after completion and on participation of SMEs as direct bidders, where national systems provide such information.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6A9B26"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CEBB2D" w14:textId="77777777" w:rsidR="00A77B3E" w:rsidRDefault="00A77B3E">
            <w:pPr>
              <w:spacing w:before="100"/>
              <w:rPr>
                <w:color w:val="000000"/>
                <w:sz w:val="20"/>
              </w:rPr>
            </w:pPr>
          </w:p>
          <w:p w14:paraId="43EF73EE" w14:textId="77777777" w:rsidR="00A77B3E" w:rsidRDefault="00000000">
            <w:pPr>
              <w:spacing w:before="100"/>
              <w:rPr>
                <w:color w:val="000000"/>
                <w:sz w:val="20"/>
              </w:rPr>
            </w:pPr>
            <w:r>
              <w:rPr>
                <w:color w:val="000000"/>
                <w:sz w:val="20"/>
              </w:rPr>
              <w:t>https://ogp.gov.ie/public-procurement-guidelines-for-goods-and-services/</w:t>
            </w:r>
          </w:p>
          <w:p w14:paraId="543F4F58" w14:textId="77777777" w:rsidR="00A77B3E" w:rsidRDefault="00A77B3E">
            <w:pPr>
              <w:spacing w:before="100"/>
              <w:rPr>
                <w:color w:val="000000"/>
                <w:sz w:val="20"/>
              </w:rPr>
            </w:pPr>
          </w:p>
          <w:p w14:paraId="1BD3D3AA" w14:textId="77777777" w:rsidR="00A77B3E" w:rsidRDefault="00A77B3E">
            <w:pPr>
              <w:spacing w:before="100"/>
              <w:rPr>
                <w:color w:val="000000"/>
                <w:sz w:val="20"/>
              </w:rPr>
            </w:pPr>
          </w:p>
          <w:p w14:paraId="286BDB6E" w14:textId="77777777" w:rsidR="00A77B3E" w:rsidRDefault="00000000">
            <w:pPr>
              <w:spacing w:before="100"/>
              <w:rPr>
                <w:color w:val="000000"/>
                <w:sz w:val="20"/>
              </w:rPr>
            </w:pPr>
            <w:r>
              <w:rPr>
                <w:color w:val="000000"/>
                <w:sz w:val="20"/>
              </w:rPr>
              <w:t>https://www.etenders.gov.ie/Media/Default/SiteContent/LegislationGuides/Circular_10_-_14_0.pdf</w:t>
            </w:r>
          </w:p>
          <w:p w14:paraId="4CCDC70E" w14:textId="77777777" w:rsidR="00A77B3E" w:rsidRDefault="00A77B3E">
            <w:pPr>
              <w:spacing w:before="100"/>
              <w:rPr>
                <w:color w:val="000000"/>
                <w:sz w:val="20"/>
              </w:rPr>
            </w:pPr>
          </w:p>
          <w:p w14:paraId="0D5A317E"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29543D" w14:textId="77777777" w:rsidR="00A77B3E" w:rsidRDefault="00000000">
            <w:pPr>
              <w:spacing w:before="100"/>
              <w:rPr>
                <w:color w:val="000000"/>
                <w:sz w:val="20"/>
              </w:rPr>
            </w:pPr>
            <w:r>
              <w:rPr>
                <w:color w:val="000000"/>
                <w:sz w:val="20"/>
              </w:rPr>
              <w:t>The National Public Procurement Guidelines for Goods and Services set out these arrangements on page 72-73.</w:t>
            </w:r>
          </w:p>
          <w:p w14:paraId="44917B1B" w14:textId="77777777" w:rsidR="00A77B3E" w:rsidRDefault="00A77B3E">
            <w:pPr>
              <w:spacing w:before="100"/>
              <w:rPr>
                <w:color w:val="000000"/>
                <w:sz w:val="20"/>
              </w:rPr>
            </w:pPr>
          </w:p>
          <w:p w14:paraId="1C2C9793" w14:textId="77777777" w:rsidR="00A77B3E" w:rsidRDefault="00000000">
            <w:pPr>
              <w:spacing w:before="100"/>
              <w:rPr>
                <w:color w:val="000000"/>
                <w:sz w:val="20"/>
              </w:rPr>
            </w:pPr>
            <w:r>
              <w:rPr>
                <w:color w:val="000000"/>
                <w:sz w:val="20"/>
              </w:rPr>
              <w:t>Reports in relation to this directive are submitted to the Commission by the OGP as required.</w:t>
            </w:r>
          </w:p>
          <w:p w14:paraId="75BF90EE" w14:textId="77777777" w:rsidR="00A77B3E" w:rsidRDefault="00A77B3E">
            <w:pPr>
              <w:spacing w:before="100"/>
              <w:rPr>
                <w:color w:val="000000"/>
                <w:sz w:val="20"/>
              </w:rPr>
            </w:pPr>
          </w:p>
          <w:p w14:paraId="5127F2F2" w14:textId="77777777" w:rsidR="00A77B3E" w:rsidRDefault="00A77B3E">
            <w:pPr>
              <w:spacing w:before="100"/>
              <w:rPr>
                <w:color w:val="000000"/>
                <w:sz w:val="20"/>
              </w:rPr>
            </w:pPr>
          </w:p>
        </w:tc>
      </w:tr>
      <w:tr w:rsidR="00B82D50" w14:paraId="1A44AFE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C9439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33AC0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5BB27A"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DAF106"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5D52F0" w14:textId="77777777" w:rsidR="00A77B3E" w:rsidRDefault="00000000">
            <w:pPr>
              <w:spacing w:before="100"/>
              <w:rPr>
                <w:color w:val="000000"/>
                <w:sz w:val="20"/>
              </w:rPr>
            </w:pPr>
            <w:r>
              <w:rPr>
                <w:color w:val="000000"/>
                <w:sz w:val="20"/>
              </w:rPr>
              <w:t>3. Arrangements to ensure monitoring and analysis of the data by the competent national authorities in accordance with article 83 (2) of  directive 2014/24/EU and article 99  (2) of directive 2014/25/EU.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43A046"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68642A" w14:textId="77777777" w:rsidR="00A77B3E" w:rsidRDefault="00000000">
            <w:pPr>
              <w:spacing w:before="100"/>
              <w:rPr>
                <w:color w:val="000000"/>
                <w:sz w:val="20"/>
              </w:rPr>
            </w:pPr>
            <w:r>
              <w:rPr>
                <w:color w:val="000000"/>
                <w:sz w:val="20"/>
              </w:rPr>
              <w:t>www.eTenders.gov.ie</w:t>
            </w:r>
          </w:p>
          <w:p w14:paraId="3CD764B8" w14:textId="77777777" w:rsidR="00A77B3E" w:rsidRDefault="00A77B3E">
            <w:pPr>
              <w:spacing w:before="100"/>
              <w:rPr>
                <w:color w:val="000000"/>
                <w:sz w:val="20"/>
              </w:rPr>
            </w:pPr>
          </w:p>
          <w:p w14:paraId="2E3FA8EF" w14:textId="77777777" w:rsidR="00A77B3E" w:rsidRDefault="00000000">
            <w:pPr>
              <w:spacing w:before="100"/>
              <w:rPr>
                <w:color w:val="000000"/>
                <w:sz w:val="20"/>
              </w:rPr>
            </w:pPr>
            <w:r>
              <w:rPr>
                <w:color w:val="000000"/>
                <w:sz w:val="20"/>
              </w:rPr>
              <w:t>Report of the Interim Procurement Reform Board</w:t>
            </w:r>
          </w:p>
          <w:p w14:paraId="5B40943E"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83E9EF" w14:textId="77777777" w:rsidR="00A77B3E" w:rsidRDefault="00000000">
            <w:pPr>
              <w:spacing w:before="100"/>
              <w:rPr>
                <w:color w:val="000000"/>
                <w:sz w:val="20"/>
              </w:rPr>
            </w:pPr>
            <w:r>
              <w:rPr>
                <w:color w:val="000000"/>
                <w:sz w:val="20"/>
              </w:rPr>
              <w:t xml:space="preserve">OGP analyses the data captured on </w:t>
            </w:r>
            <w:proofErr w:type="spellStart"/>
            <w:r>
              <w:rPr>
                <w:color w:val="000000"/>
                <w:sz w:val="20"/>
              </w:rPr>
              <w:t>eTenders</w:t>
            </w:r>
            <w:proofErr w:type="spellEnd"/>
            <w:r>
              <w:rPr>
                <w:color w:val="000000"/>
                <w:sz w:val="20"/>
              </w:rPr>
              <w:t xml:space="preserve"> and prepares Article 83 and Article 99 reports to the European Commission as required. </w:t>
            </w:r>
          </w:p>
          <w:p w14:paraId="7AB266BD" w14:textId="77777777" w:rsidR="00A77B3E" w:rsidRDefault="00A77B3E">
            <w:pPr>
              <w:spacing w:before="100"/>
              <w:rPr>
                <w:color w:val="000000"/>
                <w:sz w:val="20"/>
              </w:rPr>
            </w:pPr>
          </w:p>
          <w:p w14:paraId="291C5699" w14:textId="77777777" w:rsidR="00A77B3E" w:rsidRDefault="00A77B3E">
            <w:pPr>
              <w:spacing w:before="100"/>
              <w:rPr>
                <w:color w:val="000000"/>
                <w:sz w:val="20"/>
              </w:rPr>
            </w:pPr>
          </w:p>
          <w:p w14:paraId="3F3301D3" w14:textId="77777777" w:rsidR="00A77B3E" w:rsidRDefault="00000000">
            <w:pPr>
              <w:spacing w:before="100"/>
              <w:rPr>
                <w:color w:val="000000"/>
                <w:sz w:val="20"/>
              </w:rPr>
            </w:pPr>
            <w:r>
              <w:rPr>
                <w:color w:val="000000"/>
                <w:sz w:val="20"/>
              </w:rPr>
              <w:t>The Report of the Interim Procurement Reform Board is published regularly and contains additional information.</w:t>
            </w:r>
          </w:p>
          <w:p w14:paraId="22D9D81E" w14:textId="77777777" w:rsidR="00A77B3E" w:rsidRDefault="00A77B3E">
            <w:pPr>
              <w:spacing w:before="100"/>
              <w:rPr>
                <w:color w:val="000000"/>
                <w:sz w:val="20"/>
              </w:rPr>
            </w:pPr>
          </w:p>
        </w:tc>
      </w:tr>
      <w:tr w:rsidR="00B82D50" w14:paraId="4E3898BA"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1DACFA"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581CE29"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CEBE7A"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96E4862"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DB86F5" w14:textId="77777777" w:rsidR="00A77B3E" w:rsidRDefault="00000000">
            <w:pPr>
              <w:spacing w:before="100"/>
              <w:rPr>
                <w:color w:val="000000"/>
                <w:sz w:val="20"/>
              </w:rPr>
            </w:pPr>
            <w:r>
              <w:rPr>
                <w:color w:val="000000"/>
                <w:sz w:val="20"/>
              </w:rPr>
              <w:t>4. Arrangements to make the results of the analysis available to the public in accordance with article 83 (3) of directive 2014/24/EU and article 99 (3) directive 2014/25/EU.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D5370E"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ADC396" w14:textId="77777777" w:rsidR="00A77B3E" w:rsidRDefault="00000000">
            <w:pPr>
              <w:spacing w:before="100"/>
              <w:rPr>
                <w:color w:val="000000"/>
                <w:sz w:val="20"/>
              </w:rPr>
            </w:pPr>
            <w:r>
              <w:rPr>
                <w:color w:val="000000"/>
                <w:sz w:val="20"/>
              </w:rPr>
              <w:t>Public Service Spend and Tendering Analysis</w:t>
            </w:r>
          </w:p>
          <w:p w14:paraId="493557D7" w14:textId="77777777" w:rsidR="00A77B3E" w:rsidRDefault="00A77B3E">
            <w:pPr>
              <w:spacing w:before="100"/>
              <w:rPr>
                <w:color w:val="000000"/>
                <w:sz w:val="20"/>
              </w:rPr>
            </w:pPr>
          </w:p>
          <w:p w14:paraId="1E77A0CF" w14:textId="77777777" w:rsidR="00A77B3E" w:rsidRDefault="00000000">
            <w:pPr>
              <w:spacing w:before="100"/>
              <w:rPr>
                <w:color w:val="000000"/>
                <w:sz w:val="20"/>
              </w:rPr>
            </w:pPr>
            <w:r>
              <w:rPr>
                <w:color w:val="000000"/>
                <w:sz w:val="20"/>
              </w:rPr>
              <w:t>https://ogp.gov.ie/wp-content/uploads/OGP-2017-Public-</w:t>
            </w:r>
            <w:r>
              <w:rPr>
                <w:color w:val="000000"/>
                <w:sz w:val="20"/>
              </w:rPr>
              <w:lastRenderedPageBreak/>
              <w:t>Service-Spend-and-Tendering-Analysis.pdf</w:t>
            </w:r>
          </w:p>
          <w:p w14:paraId="6E60E689" w14:textId="77777777" w:rsidR="00A77B3E" w:rsidRDefault="00A77B3E">
            <w:pPr>
              <w:spacing w:before="100"/>
              <w:rPr>
                <w:color w:val="000000"/>
                <w:sz w:val="20"/>
              </w:rPr>
            </w:pPr>
          </w:p>
          <w:p w14:paraId="1678FE99" w14:textId="77777777" w:rsidR="00A77B3E" w:rsidRDefault="00000000">
            <w:pPr>
              <w:spacing w:before="100"/>
              <w:rPr>
                <w:color w:val="000000"/>
                <w:sz w:val="20"/>
              </w:rPr>
            </w:pPr>
            <w:r>
              <w:rPr>
                <w:color w:val="000000"/>
                <w:sz w:val="20"/>
              </w:rPr>
              <w:t>Report of the Interim Procurement Reform Board</w:t>
            </w:r>
          </w:p>
          <w:p w14:paraId="3ACBEB8E"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18745D" w14:textId="77777777" w:rsidR="00A77B3E" w:rsidRDefault="00000000">
            <w:pPr>
              <w:spacing w:before="100"/>
              <w:rPr>
                <w:color w:val="000000"/>
                <w:sz w:val="20"/>
              </w:rPr>
            </w:pPr>
            <w:r>
              <w:rPr>
                <w:color w:val="000000"/>
                <w:sz w:val="20"/>
              </w:rPr>
              <w:lastRenderedPageBreak/>
              <w:t>Reports are published on the OGP website once finalised. The OGP also publishes an annual Spend and Tendering Analysis report.</w:t>
            </w:r>
          </w:p>
          <w:p w14:paraId="1134DC18" w14:textId="77777777" w:rsidR="00A77B3E" w:rsidRDefault="00A77B3E">
            <w:pPr>
              <w:spacing w:before="100"/>
              <w:rPr>
                <w:color w:val="000000"/>
                <w:sz w:val="20"/>
              </w:rPr>
            </w:pPr>
          </w:p>
          <w:p w14:paraId="33EC430F" w14:textId="77777777" w:rsidR="00A77B3E" w:rsidRDefault="00A77B3E">
            <w:pPr>
              <w:spacing w:before="100"/>
              <w:rPr>
                <w:color w:val="000000"/>
                <w:sz w:val="20"/>
              </w:rPr>
            </w:pPr>
          </w:p>
          <w:p w14:paraId="09D57516" w14:textId="77777777" w:rsidR="00A77B3E" w:rsidRDefault="00A77B3E">
            <w:pPr>
              <w:spacing w:before="100"/>
              <w:rPr>
                <w:color w:val="000000"/>
                <w:sz w:val="20"/>
              </w:rPr>
            </w:pPr>
          </w:p>
          <w:p w14:paraId="5CF99047" w14:textId="77777777" w:rsidR="00A77B3E" w:rsidRDefault="00A77B3E">
            <w:pPr>
              <w:spacing w:before="100"/>
              <w:rPr>
                <w:color w:val="000000"/>
                <w:sz w:val="20"/>
              </w:rPr>
            </w:pPr>
          </w:p>
          <w:p w14:paraId="6D20D1FA" w14:textId="77777777" w:rsidR="00A77B3E" w:rsidRDefault="00000000">
            <w:pPr>
              <w:spacing w:before="100"/>
              <w:rPr>
                <w:color w:val="000000"/>
                <w:sz w:val="20"/>
              </w:rPr>
            </w:pPr>
            <w:r>
              <w:rPr>
                <w:color w:val="000000"/>
                <w:sz w:val="20"/>
              </w:rPr>
              <w:t>The Report of the Interim Procurement Reform Board is published regularly and contains additional information.</w:t>
            </w:r>
          </w:p>
          <w:p w14:paraId="1F244A06" w14:textId="77777777" w:rsidR="00A77B3E" w:rsidRDefault="00A77B3E">
            <w:pPr>
              <w:spacing w:before="100"/>
              <w:rPr>
                <w:color w:val="000000"/>
                <w:sz w:val="20"/>
              </w:rPr>
            </w:pPr>
          </w:p>
        </w:tc>
      </w:tr>
      <w:tr w:rsidR="00B82D50" w14:paraId="262B8C9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C47FB86"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89295C"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0474A1"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AFB25E5"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E9A121" w14:textId="77777777" w:rsidR="00A77B3E" w:rsidRDefault="00000000">
            <w:pPr>
              <w:spacing w:before="100"/>
              <w:rPr>
                <w:color w:val="000000"/>
                <w:sz w:val="20"/>
              </w:rPr>
            </w:pPr>
            <w:r>
              <w:rPr>
                <w:color w:val="000000"/>
                <w:sz w:val="20"/>
              </w:rPr>
              <w:t>5. Arrangements to ensure that all information pointing to suspected bid-rigging situations is communicated to the competent national bodies in accordance with Article 83(2) of Directive 2014/24/EU and Article 99(2) of Directive 2014/25/EU.</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D727C8"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E17B9" w14:textId="77777777" w:rsidR="00A77B3E" w:rsidRDefault="00000000">
            <w:pPr>
              <w:spacing w:before="100"/>
              <w:rPr>
                <w:color w:val="000000"/>
                <w:sz w:val="20"/>
              </w:rPr>
            </w:pPr>
            <w:r>
              <w:rPr>
                <w:color w:val="000000"/>
                <w:sz w:val="20"/>
              </w:rPr>
              <w:t>https://ogp.gov.ie/public-procurement-guidelines-for-goods-and-services/</w:t>
            </w:r>
          </w:p>
          <w:p w14:paraId="5280D58B" w14:textId="77777777" w:rsidR="00A77B3E" w:rsidRDefault="00A77B3E">
            <w:pPr>
              <w:spacing w:before="100"/>
              <w:rPr>
                <w:color w:val="000000"/>
                <w:sz w:val="20"/>
              </w:rPr>
            </w:pPr>
          </w:p>
          <w:p w14:paraId="338D1E52" w14:textId="77777777" w:rsidR="00A77B3E" w:rsidRDefault="00000000">
            <w:pPr>
              <w:spacing w:before="100"/>
              <w:rPr>
                <w:color w:val="000000"/>
                <w:sz w:val="20"/>
              </w:rPr>
            </w:pPr>
            <w:r>
              <w:rPr>
                <w:color w:val="000000"/>
                <w:sz w:val="20"/>
              </w:rPr>
              <w:t>https://www.ccpc.ie/business/help-for-business/guidelines-for-business/bid-rigging-what-you-need-to-know/</w:t>
            </w:r>
          </w:p>
          <w:p w14:paraId="47D10E0C"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14CF88" w14:textId="77777777" w:rsidR="00A77B3E" w:rsidRDefault="00000000">
            <w:pPr>
              <w:spacing w:before="100"/>
              <w:rPr>
                <w:color w:val="000000"/>
                <w:sz w:val="20"/>
              </w:rPr>
            </w:pPr>
            <w:r>
              <w:rPr>
                <w:color w:val="000000"/>
                <w:sz w:val="20"/>
              </w:rPr>
              <w:t>Contracting Authorities must report suspected bid-rigging to the Competition and Consumer Protection Commission (see p. 19 of guidelines)</w:t>
            </w:r>
          </w:p>
          <w:p w14:paraId="4B6A60D5" w14:textId="77777777" w:rsidR="00A77B3E" w:rsidRDefault="00A77B3E">
            <w:pPr>
              <w:spacing w:before="100"/>
              <w:rPr>
                <w:color w:val="000000"/>
                <w:sz w:val="20"/>
              </w:rPr>
            </w:pPr>
          </w:p>
          <w:p w14:paraId="4B11AFB5" w14:textId="77777777" w:rsidR="00A77B3E" w:rsidRDefault="00000000">
            <w:pPr>
              <w:spacing w:before="100"/>
              <w:rPr>
                <w:color w:val="000000"/>
                <w:sz w:val="20"/>
              </w:rPr>
            </w:pPr>
            <w:r>
              <w:rPr>
                <w:color w:val="000000"/>
                <w:sz w:val="20"/>
              </w:rPr>
              <w:t>The Competition and Consumer Protection Commission (CCPC) is an independent statutory body with a dual mandate to enforce competition and consumer protection law in Ireland. It regularly publishes information for consumers and businesses. For example, it recently published a “Business Guide on Bid Rigging”.</w:t>
            </w:r>
          </w:p>
          <w:p w14:paraId="008E94EA" w14:textId="77777777" w:rsidR="00A77B3E" w:rsidRDefault="00A77B3E">
            <w:pPr>
              <w:spacing w:before="100"/>
              <w:rPr>
                <w:color w:val="000000"/>
                <w:sz w:val="20"/>
              </w:rPr>
            </w:pPr>
          </w:p>
          <w:p w14:paraId="78F38688" w14:textId="77777777" w:rsidR="00A77B3E" w:rsidRDefault="00000000">
            <w:pPr>
              <w:spacing w:before="100"/>
              <w:rPr>
                <w:color w:val="000000"/>
                <w:sz w:val="20"/>
              </w:rPr>
            </w:pPr>
            <w:r>
              <w:rPr>
                <w:color w:val="000000"/>
                <w:sz w:val="20"/>
              </w:rPr>
              <w:t>Ireland’s Anti-Fraud Coordination Service (AFCOS) based in the EU and International Division of Dept of Finance are responsible for anti-fraud coordination for EU funds in Ireland.</w:t>
            </w:r>
          </w:p>
          <w:p w14:paraId="317D1215" w14:textId="77777777" w:rsidR="00A77B3E" w:rsidRDefault="00A77B3E">
            <w:pPr>
              <w:spacing w:before="100"/>
              <w:rPr>
                <w:color w:val="000000"/>
                <w:sz w:val="20"/>
              </w:rPr>
            </w:pPr>
          </w:p>
        </w:tc>
      </w:tr>
      <w:tr w:rsidR="00B82D50" w14:paraId="1A3C482A"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BE4CD5" w14:textId="77777777" w:rsidR="00A77B3E" w:rsidRDefault="00000000">
            <w:pPr>
              <w:spacing w:before="100"/>
              <w:rPr>
                <w:color w:val="000000"/>
                <w:sz w:val="20"/>
              </w:rPr>
            </w:pPr>
            <w:r>
              <w:rPr>
                <w:color w:val="000000"/>
                <w:sz w:val="20"/>
              </w:rPr>
              <w:t>2. Tools and capacity for effective application of State aid rules</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96737F"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D9D38A"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95071D" w14:textId="77777777" w:rsidR="00A77B3E" w:rsidRDefault="00000000">
            <w:pPr>
              <w:spacing w:before="100"/>
              <w:jc w:val="center"/>
              <w:rPr>
                <w:color w:val="000000"/>
                <w:sz w:val="20"/>
              </w:rPr>
            </w:pPr>
            <w:r>
              <w:rPr>
                <w:color w:val="000000"/>
                <w:sz w:val="20"/>
              </w:rPr>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3E9CEE" w14:textId="77777777" w:rsidR="00A77B3E" w:rsidRDefault="00000000">
            <w:pPr>
              <w:spacing w:before="100"/>
              <w:rPr>
                <w:color w:val="000000"/>
                <w:sz w:val="20"/>
              </w:rPr>
            </w:pPr>
            <w:r>
              <w:rPr>
                <w:color w:val="000000"/>
                <w:sz w:val="20"/>
              </w:rPr>
              <w:t xml:space="preserve">Managing authorities have the tools and capacity to verify compliance with State aid rules: </w:t>
            </w:r>
          </w:p>
          <w:p w14:paraId="7417358B" w14:textId="77777777" w:rsidR="00A77B3E" w:rsidRDefault="00000000">
            <w:pPr>
              <w:spacing w:before="100"/>
              <w:rPr>
                <w:color w:val="000000"/>
                <w:sz w:val="20"/>
              </w:rPr>
            </w:pPr>
            <w:r>
              <w:rPr>
                <w:color w:val="000000"/>
                <w:sz w:val="20"/>
              </w:rPr>
              <w:t>1. For undertakings in difficulty and undertakings under a recovery requirement.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6E0298"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6646AD" w14:textId="77777777" w:rsidR="00A77B3E" w:rsidRDefault="00000000">
            <w:pPr>
              <w:spacing w:before="100"/>
              <w:rPr>
                <w:color w:val="000000"/>
                <w:sz w:val="20"/>
              </w:rPr>
            </w:pPr>
            <w:r>
              <w:rPr>
                <w:color w:val="000000"/>
                <w:sz w:val="20"/>
              </w:rPr>
              <w:t>https://enterprise.gov.ie/en/What-We-Do/EU-Internal-Market/EU-State-Aid-Rules/</w:t>
            </w:r>
          </w:p>
          <w:p w14:paraId="0AB2434D" w14:textId="77777777" w:rsidR="00A77B3E" w:rsidRDefault="00A77B3E">
            <w:pPr>
              <w:spacing w:before="100"/>
              <w:rPr>
                <w:color w:val="000000"/>
                <w:sz w:val="20"/>
              </w:rPr>
            </w:pPr>
          </w:p>
          <w:p w14:paraId="73CC9C63" w14:textId="77777777" w:rsidR="00A77B3E" w:rsidRDefault="00000000">
            <w:pPr>
              <w:spacing w:before="100"/>
              <w:rPr>
                <w:color w:val="000000"/>
                <w:sz w:val="20"/>
              </w:rPr>
            </w:pPr>
            <w:r>
              <w:rPr>
                <w:color w:val="000000"/>
                <w:sz w:val="20"/>
              </w:rPr>
              <w:t xml:space="preserve">A list of undertakings under a recovery requirement is available at </w:t>
            </w:r>
          </w:p>
          <w:p w14:paraId="0B9883BF" w14:textId="77777777" w:rsidR="00A77B3E" w:rsidRDefault="00000000">
            <w:pPr>
              <w:spacing w:before="100"/>
              <w:rPr>
                <w:color w:val="000000"/>
                <w:sz w:val="20"/>
              </w:rPr>
            </w:pPr>
            <w:r>
              <w:rPr>
                <w:color w:val="000000"/>
                <w:sz w:val="20"/>
              </w:rPr>
              <w:lastRenderedPageBreak/>
              <w:t>https://competition-policy.ec.europa.eu/index_en</w:t>
            </w:r>
          </w:p>
          <w:p w14:paraId="7502DA93" w14:textId="77777777" w:rsidR="00A77B3E" w:rsidRDefault="00A77B3E">
            <w:pPr>
              <w:spacing w:before="100"/>
              <w:rPr>
                <w:color w:val="000000"/>
                <w:sz w:val="20"/>
              </w:rPr>
            </w:pPr>
          </w:p>
          <w:p w14:paraId="09882F58" w14:textId="77777777" w:rsidR="00A77B3E" w:rsidRDefault="00000000">
            <w:pPr>
              <w:spacing w:before="100"/>
              <w:rPr>
                <w:color w:val="000000"/>
                <w:sz w:val="20"/>
              </w:rPr>
            </w:pPr>
            <w:r>
              <w:rPr>
                <w:color w:val="000000"/>
                <w:sz w:val="20"/>
              </w:rPr>
              <w:t xml:space="preserve">Published data on companies and registered charities (e.g., universities) will be consulted.  </w:t>
            </w:r>
          </w:p>
          <w:p w14:paraId="488CF2D9" w14:textId="77777777" w:rsidR="00A77B3E" w:rsidRDefault="00A77B3E">
            <w:pPr>
              <w:spacing w:before="100"/>
              <w:rPr>
                <w:color w:val="000000"/>
                <w:sz w:val="20"/>
              </w:rPr>
            </w:pPr>
          </w:p>
          <w:p w14:paraId="624D4B4B" w14:textId="77777777" w:rsidR="00A77B3E" w:rsidRDefault="00000000">
            <w:pPr>
              <w:spacing w:before="100"/>
              <w:rPr>
                <w:color w:val="000000"/>
                <w:sz w:val="20"/>
              </w:rPr>
            </w:pPr>
            <w:r>
              <w:rPr>
                <w:color w:val="000000"/>
                <w:sz w:val="20"/>
              </w:rPr>
              <w:t>Companies Registration Office (CRO)</w:t>
            </w:r>
          </w:p>
          <w:p w14:paraId="4A4E5BA1" w14:textId="77777777" w:rsidR="00A77B3E" w:rsidRDefault="00000000">
            <w:pPr>
              <w:spacing w:before="100"/>
              <w:rPr>
                <w:color w:val="000000"/>
                <w:sz w:val="20"/>
              </w:rPr>
            </w:pPr>
            <w:r>
              <w:rPr>
                <w:color w:val="000000"/>
                <w:sz w:val="20"/>
              </w:rPr>
              <w:t>https://www.cro.ie/en-ie/</w:t>
            </w:r>
          </w:p>
          <w:p w14:paraId="3B1E1218" w14:textId="77777777" w:rsidR="00A77B3E" w:rsidRDefault="00A77B3E">
            <w:pPr>
              <w:spacing w:before="100"/>
              <w:rPr>
                <w:color w:val="000000"/>
                <w:sz w:val="20"/>
              </w:rPr>
            </w:pPr>
          </w:p>
          <w:p w14:paraId="0BA8FE0F" w14:textId="77777777" w:rsidR="00A77B3E" w:rsidRDefault="00000000">
            <w:pPr>
              <w:spacing w:before="100"/>
              <w:rPr>
                <w:color w:val="000000"/>
                <w:sz w:val="20"/>
              </w:rPr>
            </w:pPr>
            <w:r>
              <w:rPr>
                <w:color w:val="000000"/>
                <w:sz w:val="20"/>
              </w:rPr>
              <w:t>Charities Regulator</w:t>
            </w:r>
          </w:p>
          <w:p w14:paraId="6D274908" w14:textId="77777777" w:rsidR="00A77B3E" w:rsidRDefault="00000000">
            <w:pPr>
              <w:spacing w:before="100"/>
              <w:rPr>
                <w:color w:val="000000"/>
                <w:sz w:val="20"/>
              </w:rPr>
            </w:pPr>
            <w:r>
              <w:rPr>
                <w:color w:val="000000"/>
                <w:sz w:val="20"/>
              </w:rPr>
              <w:t>https://www.charitiesregulator.ie</w:t>
            </w:r>
          </w:p>
          <w:p w14:paraId="1729B1F8"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59D2686" w14:textId="77777777" w:rsidR="00A77B3E" w:rsidRDefault="00000000">
            <w:pPr>
              <w:spacing w:before="100"/>
              <w:rPr>
                <w:color w:val="000000"/>
                <w:sz w:val="20"/>
              </w:rPr>
            </w:pPr>
            <w:r>
              <w:rPr>
                <w:color w:val="000000"/>
                <w:sz w:val="20"/>
              </w:rPr>
              <w:lastRenderedPageBreak/>
              <w:t xml:space="preserve">Granting authorities will require that applicants for support from the funds confirm within the application process that they are not an undertaking in difficulty and that they are not subject to a recovery order. Granting authorities may rely on accountants certificates, </w:t>
            </w:r>
            <w:r>
              <w:rPr>
                <w:color w:val="000000"/>
                <w:sz w:val="20"/>
              </w:rPr>
              <w:lastRenderedPageBreak/>
              <w:t xml:space="preserve">published financial statements and databases (including Arachne) to verify as appropriate. </w:t>
            </w:r>
          </w:p>
          <w:p w14:paraId="68DBBBB1" w14:textId="77777777" w:rsidR="00A77B3E" w:rsidRDefault="00A77B3E">
            <w:pPr>
              <w:spacing w:before="100"/>
              <w:rPr>
                <w:color w:val="000000"/>
                <w:sz w:val="20"/>
              </w:rPr>
            </w:pPr>
          </w:p>
          <w:p w14:paraId="50BC6D69" w14:textId="77777777" w:rsidR="00A77B3E" w:rsidRDefault="00000000">
            <w:pPr>
              <w:spacing w:before="100"/>
              <w:rPr>
                <w:color w:val="000000"/>
                <w:sz w:val="20"/>
              </w:rPr>
            </w:pPr>
            <w:r>
              <w:rPr>
                <w:color w:val="000000"/>
                <w:sz w:val="20"/>
              </w:rPr>
              <w:t>Checks will be carried out and documented by the awarding bodies at the project selection stage and again as part of the management verification process as appropriate. Applicants will be required to complete self-declarations and to provide supporting documents as appropriate. Awarding bodies will be able to validate information against national databases (see above), accountant’s certificates and/or audit reports.</w:t>
            </w:r>
          </w:p>
          <w:p w14:paraId="67BE3580" w14:textId="77777777" w:rsidR="00A77B3E" w:rsidRDefault="00A77B3E">
            <w:pPr>
              <w:spacing w:before="100"/>
              <w:rPr>
                <w:color w:val="000000"/>
                <w:sz w:val="20"/>
              </w:rPr>
            </w:pPr>
          </w:p>
          <w:p w14:paraId="07175FF9" w14:textId="77777777" w:rsidR="00A77B3E" w:rsidRDefault="00000000">
            <w:pPr>
              <w:spacing w:before="100"/>
              <w:rPr>
                <w:color w:val="000000"/>
                <w:sz w:val="20"/>
              </w:rPr>
            </w:pPr>
            <w:r>
              <w:rPr>
                <w:color w:val="000000"/>
                <w:sz w:val="20"/>
              </w:rPr>
              <w:t>The Managing Authorities will review the checks carried out and documented at the level of the operation by the awarding bodies as part of the MA management verification process and using an approved sampling methodology.</w:t>
            </w:r>
          </w:p>
          <w:p w14:paraId="26C97939" w14:textId="77777777" w:rsidR="00A77B3E" w:rsidRDefault="00A77B3E">
            <w:pPr>
              <w:spacing w:before="100"/>
              <w:rPr>
                <w:color w:val="000000"/>
                <w:sz w:val="20"/>
              </w:rPr>
            </w:pPr>
          </w:p>
        </w:tc>
      </w:tr>
      <w:tr w:rsidR="00B82D50" w14:paraId="2A2E5DF8"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A93F8A"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F7412A"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8BAC4B"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5D9063"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5790952" w14:textId="77777777" w:rsidR="00A77B3E" w:rsidRDefault="00000000">
            <w:pPr>
              <w:spacing w:before="100"/>
              <w:rPr>
                <w:color w:val="000000"/>
                <w:sz w:val="20"/>
              </w:rPr>
            </w:pPr>
            <w:r>
              <w:rPr>
                <w:color w:val="000000"/>
                <w:sz w:val="20"/>
              </w:rPr>
              <w:t>2. Through access to expert advice and guidance on State aid matters, provided by State aid experts of local or national bodies.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676315"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5103BB" w14:textId="77777777" w:rsidR="00A77B3E" w:rsidRDefault="00000000">
            <w:pPr>
              <w:spacing w:before="100"/>
              <w:rPr>
                <w:color w:val="000000"/>
                <w:sz w:val="20"/>
              </w:rPr>
            </w:pPr>
            <w:r>
              <w:rPr>
                <w:color w:val="000000"/>
                <w:sz w:val="20"/>
              </w:rPr>
              <w:t>https://enterprise.gov.ie/en/What-We-Do/EU-Internal-Market/EU-State-Aid-Rules/</w:t>
            </w:r>
          </w:p>
          <w:p w14:paraId="5B08F460" w14:textId="77777777" w:rsidR="00A77B3E" w:rsidRDefault="00A77B3E">
            <w:pPr>
              <w:spacing w:before="100"/>
              <w:rPr>
                <w:color w:val="000000"/>
                <w:sz w:val="20"/>
              </w:rPr>
            </w:pPr>
          </w:p>
          <w:p w14:paraId="0193DFBE" w14:textId="77777777" w:rsidR="00A77B3E" w:rsidRDefault="00000000">
            <w:pPr>
              <w:spacing w:before="100"/>
              <w:rPr>
                <w:color w:val="000000"/>
                <w:sz w:val="20"/>
              </w:rPr>
            </w:pPr>
            <w:r>
              <w:rPr>
                <w:color w:val="000000"/>
                <w:sz w:val="20"/>
              </w:rPr>
              <w:t xml:space="preserve">GBER schemes are published on the website of the Granting Authority (and the relevant information is made available to the Commission as part the information note required within 20 </w:t>
            </w:r>
            <w:r>
              <w:rPr>
                <w:color w:val="000000"/>
                <w:sz w:val="20"/>
              </w:rPr>
              <w:lastRenderedPageBreak/>
              <w:t xml:space="preserve">days of the granting of aid under the scheme). </w:t>
            </w:r>
          </w:p>
          <w:p w14:paraId="20FB3FD6" w14:textId="77777777" w:rsidR="00A77B3E" w:rsidRDefault="00A77B3E">
            <w:pPr>
              <w:spacing w:before="100"/>
              <w:rPr>
                <w:color w:val="000000"/>
                <w:sz w:val="20"/>
              </w:rPr>
            </w:pPr>
          </w:p>
          <w:p w14:paraId="61CCB6FA" w14:textId="77777777" w:rsidR="00A77B3E" w:rsidRDefault="00000000">
            <w:pPr>
              <w:spacing w:before="100"/>
              <w:rPr>
                <w:color w:val="000000"/>
                <w:sz w:val="20"/>
              </w:rPr>
            </w:pPr>
            <w:r>
              <w:rPr>
                <w:color w:val="000000"/>
                <w:sz w:val="20"/>
              </w:rPr>
              <w:t xml:space="preserve">DETE is currently considering creating a </w:t>
            </w:r>
            <w:proofErr w:type="spellStart"/>
            <w:r>
              <w:rPr>
                <w:color w:val="000000"/>
                <w:sz w:val="20"/>
              </w:rPr>
              <w:t>centralised</w:t>
            </w:r>
            <w:proofErr w:type="spellEnd"/>
            <w:r>
              <w:rPr>
                <w:color w:val="000000"/>
                <w:sz w:val="20"/>
              </w:rPr>
              <w:t xml:space="preserve"> website for all GBER schemes.</w:t>
            </w:r>
          </w:p>
          <w:p w14:paraId="0594900B"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66B17E" w14:textId="77777777" w:rsidR="00A77B3E" w:rsidRDefault="00000000">
            <w:pPr>
              <w:spacing w:before="100"/>
              <w:rPr>
                <w:color w:val="000000"/>
                <w:sz w:val="20"/>
              </w:rPr>
            </w:pPr>
            <w:r>
              <w:rPr>
                <w:color w:val="000000"/>
                <w:sz w:val="20"/>
              </w:rPr>
              <w:lastRenderedPageBreak/>
              <w:t>The State Aid Unit in the Department of Enterprise Trade and Employment (DETE) provides guidance on interpretation of state aid rules and state aid training. EMFAF’s parent department and several ERDF intermediary bodies have in-house expertise in relation to State Aid.</w:t>
            </w:r>
          </w:p>
          <w:p w14:paraId="11B3EACB" w14:textId="77777777" w:rsidR="00A77B3E" w:rsidRDefault="00A77B3E">
            <w:pPr>
              <w:spacing w:before="100"/>
              <w:rPr>
                <w:color w:val="000000"/>
                <w:sz w:val="20"/>
              </w:rPr>
            </w:pPr>
          </w:p>
          <w:p w14:paraId="3E43342E" w14:textId="77777777" w:rsidR="00A77B3E" w:rsidRDefault="00000000">
            <w:pPr>
              <w:spacing w:before="100"/>
              <w:rPr>
                <w:color w:val="000000"/>
                <w:sz w:val="20"/>
              </w:rPr>
            </w:pPr>
            <w:r>
              <w:rPr>
                <w:color w:val="000000"/>
                <w:sz w:val="20"/>
              </w:rPr>
              <w:lastRenderedPageBreak/>
              <w:t xml:space="preserve">DETE will provide advice, where relevant, on schemes at design stage and during the implementation phases of programmes. Advice is available to all public service bodies and the unit operate a case management system to ensure service delivery. If the issue is particularly complex or Managing Authority decide to seek another opinion they can deploy technical assistance to procure state aid advice including legal advice or specialist training. The State Aid Unit will provide tailored training to Managing Authorities and public bodies delivering schemes upon request subject to capacity.  The Interdepartmental Committee on State Aid is a state aid network, which includes Managing Authorities, shares information and knowledge. </w:t>
            </w:r>
          </w:p>
          <w:p w14:paraId="333598A9" w14:textId="77777777" w:rsidR="00A77B3E" w:rsidRDefault="00A77B3E">
            <w:pPr>
              <w:spacing w:before="100"/>
              <w:rPr>
                <w:color w:val="000000"/>
                <w:sz w:val="20"/>
              </w:rPr>
            </w:pPr>
          </w:p>
        </w:tc>
      </w:tr>
      <w:tr w:rsidR="00B82D50" w14:paraId="144FC85D"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D7AD03" w14:textId="77777777" w:rsidR="00A77B3E" w:rsidRDefault="00000000">
            <w:pPr>
              <w:spacing w:before="100"/>
              <w:rPr>
                <w:color w:val="000000"/>
                <w:sz w:val="20"/>
              </w:rPr>
            </w:pPr>
            <w:r>
              <w:rPr>
                <w:color w:val="000000"/>
                <w:sz w:val="20"/>
              </w:rPr>
              <w:lastRenderedPageBreak/>
              <w:t>3. Effective application and implementation of the Charter of Fundamental Rights</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153597"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B5B21A"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7E7DE4" w14:textId="77777777" w:rsidR="00A77B3E" w:rsidRDefault="00000000">
            <w:pPr>
              <w:spacing w:before="100"/>
              <w:jc w:val="center"/>
              <w:rPr>
                <w:color w:val="000000"/>
                <w:sz w:val="20"/>
              </w:rPr>
            </w:pPr>
            <w:r>
              <w:rPr>
                <w:color w:val="000000"/>
                <w:sz w:val="20"/>
              </w:rPr>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B063A1" w14:textId="77777777" w:rsidR="00A77B3E" w:rsidRDefault="00000000">
            <w:pPr>
              <w:spacing w:before="100"/>
              <w:rPr>
                <w:color w:val="000000"/>
                <w:sz w:val="20"/>
              </w:rPr>
            </w:pPr>
            <w:r>
              <w:rPr>
                <w:color w:val="000000"/>
                <w:sz w:val="20"/>
              </w:rPr>
              <w:t xml:space="preserve">Effective mechanisms are in place to ensure compliance with the Charter of Fundamental Rights of the European Union ('the Charter') which include: </w:t>
            </w:r>
          </w:p>
          <w:p w14:paraId="41EADC1F" w14:textId="77777777" w:rsidR="00A77B3E" w:rsidRDefault="00000000">
            <w:pPr>
              <w:spacing w:before="100"/>
              <w:rPr>
                <w:color w:val="000000"/>
                <w:sz w:val="20"/>
              </w:rPr>
            </w:pPr>
            <w:r>
              <w:rPr>
                <w:color w:val="000000"/>
                <w:sz w:val="20"/>
              </w:rPr>
              <w:t>1. Arrangements to ensure compliance of the programmes supported by the Funds and their implementation with the relevant provisions of the Charter.</w:t>
            </w:r>
          </w:p>
          <w:p w14:paraId="6A0B79C9" w14:textId="77777777" w:rsidR="00A77B3E" w:rsidRDefault="00A77B3E">
            <w:pPr>
              <w:spacing w:before="100"/>
              <w:rPr>
                <w:color w:val="000000"/>
                <w:sz w:val="20"/>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4BFCC5"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2CE8DB" w14:textId="77777777" w:rsidR="00A77B3E" w:rsidRDefault="00000000">
            <w:pPr>
              <w:spacing w:before="100"/>
              <w:rPr>
                <w:color w:val="000000"/>
                <w:sz w:val="20"/>
              </w:rPr>
            </w:pPr>
            <w:r>
              <w:rPr>
                <w:color w:val="000000"/>
                <w:sz w:val="20"/>
              </w:rPr>
              <w:t>Irish Human Rights and Equality Commission Act 2014</w:t>
            </w:r>
          </w:p>
          <w:p w14:paraId="58EE0AD9" w14:textId="77777777" w:rsidR="00A77B3E" w:rsidRDefault="00000000">
            <w:pPr>
              <w:spacing w:before="100"/>
              <w:rPr>
                <w:color w:val="000000"/>
                <w:sz w:val="20"/>
              </w:rPr>
            </w:pPr>
            <w:r>
              <w:rPr>
                <w:color w:val="000000"/>
                <w:sz w:val="20"/>
              </w:rPr>
              <w:t>http://www.irishstatutebook.ie/eli/2014/act/25/enacted/en/print</w:t>
            </w:r>
          </w:p>
          <w:p w14:paraId="3F23193F" w14:textId="77777777" w:rsidR="00A77B3E" w:rsidRDefault="00A77B3E">
            <w:pPr>
              <w:spacing w:before="100"/>
              <w:rPr>
                <w:color w:val="000000"/>
                <w:sz w:val="20"/>
              </w:rPr>
            </w:pPr>
          </w:p>
          <w:p w14:paraId="408C6DBD" w14:textId="77777777" w:rsidR="00A77B3E" w:rsidRDefault="00000000">
            <w:pPr>
              <w:spacing w:before="100"/>
              <w:rPr>
                <w:color w:val="000000"/>
                <w:sz w:val="20"/>
              </w:rPr>
            </w:pPr>
            <w:r>
              <w:rPr>
                <w:color w:val="000000"/>
                <w:sz w:val="20"/>
              </w:rPr>
              <w:t>IHREC Strategy Statement</w:t>
            </w:r>
          </w:p>
          <w:p w14:paraId="665ABC0E" w14:textId="77777777" w:rsidR="00A77B3E" w:rsidRDefault="00000000">
            <w:pPr>
              <w:spacing w:before="100"/>
              <w:rPr>
                <w:color w:val="000000"/>
                <w:sz w:val="20"/>
              </w:rPr>
            </w:pPr>
            <w:r>
              <w:rPr>
                <w:color w:val="000000"/>
                <w:sz w:val="20"/>
              </w:rPr>
              <w:t>https://www.ihrec.ie/app/uploads/2019/02/Final-Strategy-Statement-ENG-VERSION.pdf</w:t>
            </w:r>
          </w:p>
          <w:p w14:paraId="41ED6178" w14:textId="77777777" w:rsidR="00A77B3E" w:rsidRDefault="00000000">
            <w:pPr>
              <w:spacing w:before="100"/>
              <w:rPr>
                <w:color w:val="000000"/>
                <w:sz w:val="20"/>
              </w:rPr>
            </w:pPr>
            <w:r>
              <w:rPr>
                <w:color w:val="000000"/>
                <w:sz w:val="20"/>
              </w:rPr>
              <w:t xml:space="preserve"> </w:t>
            </w:r>
          </w:p>
          <w:p w14:paraId="4AC10026" w14:textId="77777777" w:rsidR="00A77B3E" w:rsidRDefault="00000000">
            <w:pPr>
              <w:spacing w:before="100"/>
              <w:rPr>
                <w:color w:val="000000"/>
                <w:sz w:val="20"/>
              </w:rPr>
            </w:pPr>
            <w:r>
              <w:rPr>
                <w:color w:val="000000"/>
                <w:sz w:val="20"/>
              </w:rPr>
              <w:t>Implementing the Public Sector Equality and Human Rights Duty</w:t>
            </w:r>
          </w:p>
          <w:p w14:paraId="692F9D8D" w14:textId="77777777" w:rsidR="00A77B3E" w:rsidRDefault="00000000">
            <w:pPr>
              <w:spacing w:before="100"/>
              <w:rPr>
                <w:color w:val="000000"/>
                <w:sz w:val="20"/>
              </w:rPr>
            </w:pPr>
            <w:r>
              <w:rPr>
                <w:color w:val="000000"/>
                <w:sz w:val="20"/>
              </w:rPr>
              <w:lastRenderedPageBreak/>
              <w:t>https://www.ihrec.ie/app/uploads/2019/03/IHREC_Public_Sector_Duty_Final_Eng_WEB.pdf</w:t>
            </w:r>
          </w:p>
          <w:p w14:paraId="62BC0BB4" w14:textId="77777777" w:rsidR="00A77B3E" w:rsidRDefault="00A77B3E">
            <w:pPr>
              <w:spacing w:before="100"/>
              <w:rPr>
                <w:color w:val="000000"/>
                <w:sz w:val="20"/>
              </w:rPr>
            </w:pPr>
          </w:p>
          <w:p w14:paraId="6319DE4B" w14:textId="77777777" w:rsidR="00A77B3E" w:rsidRDefault="00000000">
            <w:pPr>
              <w:spacing w:before="100"/>
              <w:rPr>
                <w:color w:val="000000"/>
                <w:sz w:val="20"/>
              </w:rPr>
            </w:pPr>
            <w:r>
              <w:rPr>
                <w:color w:val="000000"/>
                <w:sz w:val="20"/>
              </w:rPr>
              <w:t>Guidance Tool on Equality and Human Rights in EU Funds</w:t>
            </w:r>
          </w:p>
          <w:p w14:paraId="7271BE48" w14:textId="77777777" w:rsidR="00A77B3E" w:rsidRDefault="00000000">
            <w:pPr>
              <w:spacing w:before="100"/>
              <w:rPr>
                <w:color w:val="000000"/>
                <w:sz w:val="20"/>
              </w:rPr>
            </w:pPr>
            <w:r>
              <w:rPr>
                <w:color w:val="000000"/>
                <w:sz w:val="20"/>
              </w:rPr>
              <w:t>https://eufunds.ie/regulations-guidance/</w:t>
            </w:r>
          </w:p>
          <w:p w14:paraId="109DC499"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F8BDF8D" w14:textId="77777777" w:rsidR="00A77B3E" w:rsidRDefault="00000000">
            <w:pPr>
              <w:spacing w:before="100"/>
              <w:rPr>
                <w:color w:val="000000"/>
                <w:sz w:val="20"/>
              </w:rPr>
            </w:pPr>
            <w:r>
              <w:rPr>
                <w:color w:val="000000"/>
                <w:sz w:val="20"/>
              </w:rPr>
              <w:lastRenderedPageBreak/>
              <w:t xml:space="preserve">The MAs will ensure compliance with the Charter in all Funds. </w:t>
            </w:r>
          </w:p>
          <w:p w14:paraId="040BE005" w14:textId="77777777" w:rsidR="00A77B3E" w:rsidRDefault="00000000">
            <w:pPr>
              <w:spacing w:before="100"/>
              <w:rPr>
                <w:color w:val="000000"/>
                <w:sz w:val="20"/>
              </w:rPr>
            </w:pPr>
            <w:r>
              <w:rPr>
                <w:color w:val="000000"/>
                <w:sz w:val="20"/>
              </w:rPr>
              <w:t xml:space="preserve">IHREC will support the MAs with monitoring, assisting to ensure compliance with the Charter. </w:t>
            </w:r>
          </w:p>
          <w:p w14:paraId="569DD158" w14:textId="77777777" w:rsidR="00A77B3E" w:rsidRDefault="00A77B3E">
            <w:pPr>
              <w:spacing w:before="100"/>
              <w:rPr>
                <w:color w:val="000000"/>
                <w:sz w:val="20"/>
              </w:rPr>
            </w:pPr>
          </w:p>
          <w:p w14:paraId="7F74F947" w14:textId="77777777" w:rsidR="00A77B3E" w:rsidRDefault="00000000">
            <w:pPr>
              <w:spacing w:before="100"/>
              <w:rPr>
                <w:color w:val="000000"/>
                <w:sz w:val="20"/>
              </w:rPr>
            </w:pPr>
            <w:r>
              <w:rPr>
                <w:color w:val="000000"/>
                <w:sz w:val="20"/>
              </w:rPr>
              <w:t xml:space="preserve">The Public Sector Equality and Human Rights Duty (the Duty) requires public bodies to have regard to non-discrimination, equality, and human rights in carrying out their functions. Adherence to the Duty by all implementing bodies will help to ensure compliance with the Charter. </w:t>
            </w:r>
          </w:p>
          <w:p w14:paraId="458C109A" w14:textId="77777777" w:rsidR="00A77B3E" w:rsidRDefault="00000000">
            <w:pPr>
              <w:spacing w:before="100"/>
              <w:rPr>
                <w:color w:val="000000"/>
                <w:sz w:val="20"/>
              </w:rPr>
            </w:pPr>
            <w:r>
              <w:rPr>
                <w:color w:val="000000"/>
                <w:sz w:val="20"/>
              </w:rPr>
              <w:lastRenderedPageBreak/>
              <w:t>Building on the Duty, a guidance tool has been developed with IHREC to assist Intermediate Bodies (IBs) and Beneficiaries in advancing equality and human rights.</w:t>
            </w:r>
          </w:p>
          <w:p w14:paraId="2965CEDF" w14:textId="77777777" w:rsidR="00A77B3E" w:rsidRDefault="00A77B3E">
            <w:pPr>
              <w:spacing w:before="100"/>
              <w:rPr>
                <w:color w:val="000000"/>
                <w:sz w:val="20"/>
              </w:rPr>
            </w:pPr>
          </w:p>
          <w:p w14:paraId="41BDFC35" w14:textId="77777777" w:rsidR="00A77B3E" w:rsidRDefault="00000000">
            <w:pPr>
              <w:spacing w:before="100"/>
              <w:rPr>
                <w:color w:val="000000"/>
                <w:sz w:val="20"/>
              </w:rPr>
            </w:pPr>
            <w:r>
              <w:rPr>
                <w:color w:val="000000"/>
                <w:sz w:val="20"/>
              </w:rPr>
              <w:t>IHREC will be invited to sit on the PMCs and will be consulted throughout the development of the PA and OPs and in implementation, monitoring and evaluation of OPs.</w:t>
            </w:r>
          </w:p>
          <w:p w14:paraId="308143C3" w14:textId="77777777" w:rsidR="00A77B3E" w:rsidRDefault="00A77B3E">
            <w:pPr>
              <w:spacing w:before="100"/>
              <w:rPr>
                <w:color w:val="000000"/>
                <w:sz w:val="20"/>
              </w:rPr>
            </w:pPr>
          </w:p>
          <w:p w14:paraId="6A1166C1" w14:textId="77777777" w:rsidR="00A77B3E" w:rsidRDefault="00000000">
            <w:pPr>
              <w:spacing w:before="100"/>
              <w:rPr>
                <w:color w:val="000000"/>
                <w:sz w:val="20"/>
              </w:rPr>
            </w:pPr>
            <w:r>
              <w:rPr>
                <w:color w:val="000000"/>
                <w:sz w:val="20"/>
              </w:rPr>
              <w:t>Compliance will be ensured through application of the Duty and with the help of the Commission’s ‘Fundamental Rights Checklist’ and IHREC guidance. Each IB or scheme delivery partner will report annually on progress in relation to human rights and equality and on continued compliance with the Charter.</w:t>
            </w:r>
          </w:p>
          <w:p w14:paraId="389FEEED" w14:textId="77777777" w:rsidR="00A77B3E" w:rsidRDefault="00A77B3E">
            <w:pPr>
              <w:spacing w:before="100"/>
              <w:rPr>
                <w:color w:val="000000"/>
                <w:sz w:val="20"/>
              </w:rPr>
            </w:pPr>
          </w:p>
          <w:p w14:paraId="6A9DDAC1" w14:textId="77777777" w:rsidR="00A77B3E" w:rsidRDefault="00000000">
            <w:pPr>
              <w:spacing w:before="100"/>
              <w:rPr>
                <w:color w:val="000000"/>
                <w:sz w:val="20"/>
              </w:rPr>
            </w:pPr>
            <w:r>
              <w:rPr>
                <w:color w:val="000000"/>
                <w:sz w:val="20"/>
              </w:rPr>
              <w:t>Training on human rights and equality will be procured and provided to staff in the MAs, IBs and Beneficiaries as required.</w:t>
            </w:r>
          </w:p>
          <w:p w14:paraId="44DE0417" w14:textId="77777777" w:rsidR="00A77B3E" w:rsidRDefault="00A77B3E">
            <w:pPr>
              <w:spacing w:before="100"/>
              <w:rPr>
                <w:color w:val="000000"/>
                <w:sz w:val="20"/>
              </w:rPr>
            </w:pPr>
          </w:p>
        </w:tc>
      </w:tr>
      <w:tr w:rsidR="00B82D50" w14:paraId="34D3877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3C661BD"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CA0743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9732AE"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D8008D0"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DEF7F7" w14:textId="77777777" w:rsidR="00A77B3E" w:rsidRDefault="00000000">
            <w:pPr>
              <w:spacing w:before="100"/>
              <w:rPr>
                <w:color w:val="000000"/>
                <w:sz w:val="20"/>
              </w:rPr>
            </w:pPr>
            <w:r>
              <w:rPr>
                <w:color w:val="000000"/>
                <w:sz w:val="20"/>
              </w:rPr>
              <w:t>2. Reporting arrangements to the monitoring committee regarding cases of non-compliance of operations supported by the Funds with the Charter and complaints regarding the Charter submitted in accordance with the arrangements made pursuant to Article 69(7).</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DBA7DA"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C35054" w14:textId="77777777" w:rsidR="00A77B3E" w:rsidRDefault="00000000">
            <w:pPr>
              <w:spacing w:before="100"/>
              <w:rPr>
                <w:color w:val="000000"/>
                <w:sz w:val="20"/>
              </w:rPr>
            </w:pPr>
            <w:r>
              <w:rPr>
                <w:color w:val="000000"/>
                <w:sz w:val="20"/>
              </w:rPr>
              <w:t>https://www.ihrec.ie/</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ED835A" w14:textId="77777777" w:rsidR="00A77B3E" w:rsidRDefault="00000000">
            <w:pPr>
              <w:spacing w:before="100"/>
              <w:rPr>
                <w:color w:val="000000"/>
                <w:sz w:val="20"/>
              </w:rPr>
            </w:pPr>
            <w:r>
              <w:rPr>
                <w:color w:val="000000"/>
                <w:sz w:val="20"/>
              </w:rPr>
              <w:t xml:space="preserve">Where a complaint regarding the Charter or potential case of non-compliance of operations supported by the Funds with the Charter is brought to the attention of the MA, the MA will establish the facts of the case. If the case is established by the MA to be a potential breach of the Charter, the MA will request that IHREC provide an </w:t>
            </w:r>
            <w:r>
              <w:rPr>
                <w:color w:val="000000"/>
                <w:sz w:val="20"/>
              </w:rPr>
              <w:lastRenderedPageBreak/>
              <w:t>assessment. The MA will state clearly the reasons for its belief that a potential breach of the Charter has occurred.</w:t>
            </w:r>
          </w:p>
          <w:p w14:paraId="09D4EF90" w14:textId="77777777" w:rsidR="00A77B3E" w:rsidRDefault="00A77B3E">
            <w:pPr>
              <w:spacing w:before="100"/>
              <w:rPr>
                <w:color w:val="000000"/>
                <w:sz w:val="20"/>
              </w:rPr>
            </w:pPr>
          </w:p>
          <w:p w14:paraId="48F70EF3" w14:textId="77777777" w:rsidR="00A77B3E" w:rsidRDefault="00000000">
            <w:pPr>
              <w:spacing w:before="100"/>
              <w:rPr>
                <w:color w:val="000000"/>
                <w:sz w:val="20"/>
              </w:rPr>
            </w:pPr>
            <w:r>
              <w:rPr>
                <w:color w:val="000000"/>
                <w:sz w:val="20"/>
              </w:rPr>
              <w:t xml:space="preserve">Upon formal receipt of such a request, IHREC will complete their assessment with reference to Ireland’s obligations under the Charter.  </w:t>
            </w:r>
          </w:p>
          <w:p w14:paraId="49055D7D" w14:textId="77777777" w:rsidR="00A77B3E" w:rsidRDefault="00A77B3E">
            <w:pPr>
              <w:spacing w:before="100"/>
              <w:rPr>
                <w:color w:val="000000"/>
                <w:sz w:val="20"/>
              </w:rPr>
            </w:pPr>
          </w:p>
          <w:p w14:paraId="6DE05CC0" w14:textId="77777777" w:rsidR="00A77B3E" w:rsidRDefault="00000000">
            <w:pPr>
              <w:spacing w:before="100"/>
              <w:rPr>
                <w:color w:val="000000"/>
                <w:sz w:val="20"/>
              </w:rPr>
            </w:pPr>
            <w:r>
              <w:rPr>
                <w:color w:val="000000"/>
                <w:sz w:val="20"/>
              </w:rPr>
              <w:t>Where IHREC deem that the Charter has not been complied with they will inform the Monitoring Committee.  IHREC will set out its findings in a report and propose recommendations, if any, drawing on the Public Sector Equality and Human Rights Duty and the guidance tool developed by IHREC and the MAs to support integration of equality and human rights standards under the Funds.  The MA will respond and inform the Committee of any remedial actions taken and of the scope to draw lessons for the implementation of programmes. Reporting on any cases of non-compliance and complaints will take place at least annually.</w:t>
            </w:r>
          </w:p>
          <w:p w14:paraId="53531182" w14:textId="77777777" w:rsidR="00A77B3E" w:rsidRDefault="00A77B3E">
            <w:pPr>
              <w:spacing w:before="100"/>
              <w:rPr>
                <w:color w:val="000000"/>
                <w:sz w:val="20"/>
              </w:rPr>
            </w:pPr>
          </w:p>
        </w:tc>
      </w:tr>
      <w:tr w:rsidR="00B82D50" w14:paraId="0DADCC4F"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008E8A" w14:textId="77777777" w:rsidR="00A77B3E" w:rsidRDefault="00000000">
            <w:pPr>
              <w:spacing w:before="100"/>
              <w:rPr>
                <w:color w:val="000000"/>
                <w:sz w:val="20"/>
              </w:rPr>
            </w:pPr>
            <w:r>
              <w:rPr>
                <w:color w:val="000000"/>
                <w:sz w:val="20"/>
              </w:rPr>
              <w:lastRenderedPageBreak/>
              <w:t xml:space="preserve">4. Implementation and application of the United Nations Convention on the rights of persons with disabilities (UNCRPD) in </w:t>
            </w:r>
            <w:r>
              <w:rPr>
                <w:color w:val="000000"/>
                <w:sz w:val="20"/>
              </w:rPr>
              <w:lastRenderedPageBreak/>
              <w:t>accordance with Council Decision 2010/48/EC</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690159"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659C89"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32E826" w14:textId="77777777" w:rsidR="00A77B3E" w:rsidRDefault="00000000">
            <w:pPr>
              <w:spacing w:before="100"/>
              <w:jc w:val="center"/>
              <w:rPr>
                <w:color w:val="000000"/>
                <w:sz w:val="20"/>
              </w:rPr>
            </w:pPr>
            <w:r>
              <w:rPr>
                <w:color w:val="000000"/>
                <w:sz w:val="20"/>
              </w:rPr>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00AC02" w14:textId="77777777" w:rsidR="00A77B3E" w:rsidRDefault="00000000">
            <w:pPr>
              <w:spacing w:before="100"/>
              <w:rPr>
                <w:color w:val="000000"/>
                <w:sz w:val="20"/>
              </w:rPr>
            </w:pPr>
            <w:r>
              <w:rPr>
                <w:color w:val="000000"/>
                <w:sz w:val="20"/>
              </w:rPr>
              <w:t xml:space="preserve">A national framework to ensure implementation of the UNCRPD is in place that includes: </w:t>
            </w:r>
          </w:p>
          <w:p w14:paraId="6AD39706" w14:textId="77777777" w:rsidR="00A77B3E" w:rsidRDefault="00000000">
            <w:pPr>
              <w:spacing w:before="100"/>
              <w:rPr>
                <w:color w:val="000000"/>
                <w:sz w:val="20"/>
              </w:rPr>
            </w:pPr>
            <w:r>
              <w:rPr>
                <w:color w:val="000000"/>
                <w:sz w:val="20"/>
              </w:rPr>
              <w:t>1. Objectives with measurable goals, data collection and monitoring mechanisms.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55BA43"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D78A8F" w14:textId="77777777" w:rsidR="00A77B3E" w:rsidRDefault="00000000">
            <w:pPr>
              <w:spacing w:before="100"/>
              <w:rPr>
                <w:color w:val="000000"/>
                <w:sz w:val="20"/>
              </w:rPr>
            </w:pPr>
            <w:r>
              <w:rPr>
                <w:color w:val="000000"/>
                <w:sz w:val="20"/>
              </w:rPr>
              <w:t>The National Disability Inclusion Strategy</w:t>
            </w:r>
          </w:p>
          <w:p w14:paraId="10EB7136" w14:textId="77777777" w:rsidR="00A77B3E" w:rsidRDefault="00000000">
            <w:pPr>
              <w:spacing w:before="100"/>
              <w:rPr>
                <w:color w:val="000000"/>
                <w:sz w:val="20"/>
              </w:rPr>
            </w:pPr>
            <w:r>
              <w:rPr>
                <w:color w:val="000000"/>
                <w:sz w:val="20"/>
              </w:rPr>
              <w:t>https://www.justice.ie/en/JELR/Pages/WP17000244</w:t>
            </w:r>
          </w:p>
          <w:p w14:paraId="3362CF41" w14:textId="77777777" w:rsidR="00A77B3E" w:rsidRDefault="00A77B3E">
            <w:pPr>
              <w:spacing w:before="100"/>
              <w:rPr>
                <w:color w:val="000000"/>
                <w:sz w:val="20"/>
              </w:rPr>
            </w:pPr>
          </w:p>
          <w:p w14:paraId="70B5B1A6" w14:textId="77777777" w:rsidR="00A77B3E" w:rsidRDefault="00000000">
            <w:pPr>
              <w:spacing w:before="100"/>
              <w:rPr>
                <w:color w:val="000000"/>
                <w:sz w:val="20"/>
              </w:rPr>
            </w:pPr>
            <w:r>
              <w:rPr>
                <w:color w:val="000000"/>
                <w:sz w:val="20"/>
              </w:rPr>
              <w:t>Mid-Term Review of National Disability Inclusion Strategy</w:t>
            </w:r>
          </w:p>
          <w:p w14:paraId="056D20A0" w14:textId="77777777" w:rsidR="00A77B3E" w:rsidRDefault="00000000">
            <w:pPr>
              <w:spacing w:before="100"/>
              <w:rPr>
                <w:color w:val="000000"/>
                <w:sz w:val="20"/>
              </w:rPr>
            </w:pPr>
            <w:r>
              <w:rPr>
                <w:color w:val="000000"/>
                <w:sz w:val="20"/>
              </w:rPr>
              <w:lastRenderedPageBreak/>
              <w:t>https://merrionstreet.ie/en/news-room/midterm_review_-_national_disability_inclusion_strategy.pdf</w:t>
            </w:r>
          </w:p>
          <w:p w14:paraId="46893C38" w14:textId="77777777" w:rsidR="00A77B3E" w:rsidRDefault="00A77B3E">
            <w:pPr>
              <w:spacing w:before="100"/>
              <w:rPr>
                <w:color w:val="000000"/>
                <w:sz w:val="20"/>
              </w:rPr>
            </w:pPr>
          </w:p>
          <w:p w14:paraId="19D7FCA0" w14:textId="77777777" w:rsidR="00A77B3E" w:rsidRDefault="00000000">
            <w:pPr>
              <w:spacing w:before="100"/>
              <w:rPr>
                <w:color w:val="000000"/>
                <w:sz w:val="20"/>
              </w:rPr>
            </w:pPr>
            <w:r>
              <w:rPr>
                <w:color w:val="000000"/>
                <w:sz w:val="20"/>
              </w:rPr>
              <w:t xml:space="preserve">Comprehensive Employment Strategy for People with Disabilities 2015-24 </w:t>
            </w:r>
          </w:p>
          <w:p w14:paraId="0E033628" w14:textId="77777777" w:rsidR="00A77B3E" w:rsidRDefault="00A77B3E">
            <w:pPr>
              <w:spacing w:before="100"/>
              <w:rPr>
                <w:color w:val="000000"/>
                <w:sz w:val="20"/>
              </w:rPr>
            </w:pPr>
          </w:p>
          <w:p w14:paraId="2C416091" w14:textId="77777777" w:rsidR="00A77B3E" w:rsidRDefault="00000000">
            <w:pPr>
              <w:spacing w:before="100"/>
              <w:rPr>
                <w:color w:val="000000"/>
                <w:sz w:val="20"/>
              </w:rPr>
            </w:pPr>
            <w:r>
              <w:rPr>
                <w:color w:val="000000"/>
                <w:sz w:val="20"/>
              </w:rPr>
              <w:t>IHREC - UNCRPD</w:t>
            </w:r>
          </w:p>
          <w:p w14:paraId="632271D1" w14:textId="77777777" w:rsidR="00A77B3E" w:rsidRDefault="00000000">
            <w:pPr>
              <w:spacing w:before="100"/>
              <w:rPr>
                <w:color w:val="000000"/>
                <w:sz w:val="20"/>
              </w:rPr>
            </w:pPr>
            <w:r>
              <w:rPr>
                <w:color w:val="000000"/>
                <w:sz w:val="20"/>
              </w:rPr>
              <w:t>https://www.ihrec.ie/crpd/</w:t>
            </w:r>
          </w:p>
          <w:p w14:paraId="3B754248" w14:textId="77777777" w:rsidR="00A77B3E" w:rsidRDefault="00A77B3E">
            <w:pPr>
              <w:spacing w:before="100"/>
              <w:rPr>
                <w:color w:val="000000"/>
                <w:sz w:val="20"/>
              </w:rPr>
            </w:pPr>
          </w:p>
          <w:p w14:paraId="1C7C9874" w14:textId="77777777" w:rsidR="00A77B3E" w:rsidRDefault="00000000">
            <w:pPr>
              <w:spacing w:before="100"/>
              <w:rPr>
                <w:color w:val="000000"/>
                <w:sz w:val="20"/>
              </w:rPr>
            </w:pPr>
            <w:r>
              <w:rPr>
                <w:color w:val="000000"/>
                <w:sz w:val="20"/>
              </w:rPr>
              <w:t>NDA – Monitoring of NDIS</w:t>
            </w:r>
          </w:p>
          <w:p w14:paraId="72F15AE0" w14:textId="77777777" w:rsidR="00A77B3E" w:rsidRDefault="00000000">
            <w:pPr>
              <w:spacing w:before="100"/>
              <w:rPr>
                <w:color w:val="000000"/>
                <w:sz w:val="20"/>
              </w:rPr>
            </w:pPr>
            <w:r>
              <w:rPr>
                <w:color w:val="000000"/>
                <w:sz w:val="20"/>
              </w:rPr>
              <w:t>http://nda.ie/Publications/</w:t>
            </w:r>
          </w:p>
          <w:p w14:paraId="3038412E" w14:textId="77777777" w:rsidR="00A77B3E" w:rsidRDefault="00A77B3E">
            <w:pPr>
              <w:spacing w:before="100"/>
              <w:rPr>
                <w:color w:val="000000"/>
                <w:sz w:val="20"/>
              </w:rPr>
            </w:pPr>
          </w:p>
          <w:p w14:paraId="79295AA6" w14:textId="77777777" w:rsidR="00A77B3E" w:rsidRDefault="00000000">
            <w:pPr>
              <w:spacing w:before="100"/>
              <w:rPr>
                <w:color w:val="000000"/>
                <w:sz w:val="20"/>
              </w:rPr>
            </w:pPr>
            <w:r>
              <w:rPr>
                <w:color w:val="000000"/>
                <w:sz w:val="20"/>
              </w:rPr>
              <w:t>Launch of Disability Consultation Network</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2878372" w14:textId="77777777" w:rsidR="00A77B3E" w:rsidRDefault="00000000">
            <w:pPr>
              <w:spacing w:before="100"/>
              <w:rPr>
                <w:color w:val="000000"/>
                <w:sz w:val="20"/>
              </w:rPr>
            </w:pPr>
            <w:r>
              <w:rPr>
                <w:color w:val="000000"/>
                <w:sz w:val="20"/>
              </w:rPr>
              <w:lastRenderedPageBreak/>
              <w:t xml:space="preserve">The current mechanism to implement the UNCRPD commitments is the National Disability Inclusion Strategy (NDIS) and its Steering Group.  </w:t>
            </w:r>
          </w:p>
          <w:p w14:paraId="63CA910A" w14:textId="77777777" w:rsidR="00A77B3E" w:rsidRDefault="00A77B3E">
            <w:pPr>
              <w:spacing w:before="100"/>
              <w:rPr>
                <w:color w:val="000000"/>
                <w:sz w:val="20"/>
              </w:rPr>
            </w:pPr>
          </w:p>
          <w:p w14:paraId="6D2B2AA9" w14:textId="77777777" w:rsidR="00A77B3E" w:rsidRDefault="00000000">
            <w:pPr>
              <w:spacing w:before="100"/>
              <w:rPr>
                <w:color w:val="000000"/>
                <w:sz w:val="20"/>
              </w:rPr>
            </w:pPr>
            <w:r>
              <w:rPr>
                <w:color w:val="000000"/>
                <w:sz w:val="20"/>
              </w:rPr>
              <w:t xml:space="preserve">The NDIS has been extended until the end of 2022 with implementation of actions and monitoring by the NDIS </w:t>
            </w:r>
            <w:r>
              <w:rPr>
                <w:color w:val="000000"/>
                <w:sz w:val="20"/>
              </w:rPr>
              <w:lastRenderedPageBreak/>
              <w:t xml:space="preserve">Steering Group continuing.  Progress is tracked against a set of 62 indicators identified by the National Disability Authority (NDA). </w:t>
            </w:r>
          </w:p>
          <w:p w14:paraId="2C10832B" w14:textId="77777777" w:rsidR="00A77B3E" w:rsidRDefault="00000000">
            <w:pPr>
              <w:spacing w:before="100"/>
              <w:rPr>
                <w:color w:val="000000"/>
                <w:sz w:val="20"/>
              </w:rPr>
            </w:pPr>
            <w:r>
              <w:rPr>
                <w:color w:val="000000"/>
                <w:sz w:val="20"/>
              </w:rPr>
              <w:t>There will be ongoing assessment of the implementation of actions identified in the NDIS until the strategy concludes. The Mid-Term review of the NDIS commits to the development of a specific UNCRPD implementation plan, expected in 2022.</w:t>
            </w:r>
          </w:p>
          <w:p w14:paraId="1084C025" w14:textId="77777777" w:rsidR="00A77B3E" w:rsidRDefault="00A77B3E">
            <w:pPr>
              <w:spacing w:before="100"/>
              <w:rPr>
                <w:color w:val="000000"/>
                <w:sz w:val="20"/>
              </w:rPr>
            </w:pPr>
          </w:p>
          <w:p w14:paraId="4FCC15C5" w14:textId="77777777" w:rsidR="00A77B3E" w:rsidRDefault="00000000">
            <w:pPr>
              <w:spacing w:before="100"/>
              <w:rPr>
                <w:color w:val="000000"/>
                <w:sz w:val="20"/>
              </w:rPr>
            </w:pPr>
            <w:r>
              <w:rPr>
                <w:color w:val="000000"/>
                <w:sz w:val="20"/>
              </w:rPr>
              <w:t>The Comprehensive Employment Strategy for People with Disabilities (CESPD) is also of particular relevance in relation to Article 27 of the UNCRPD.</w:t>
            </w:r>
          </w:p>
          <w:p w14:paraId="636C0799" w14:textId="77777777" w:rsidR="00A77B3E" w:rsidRDefault="00A77B3E">
            <w:pPr>
              <w:spacing w:before="100"/>
              <w:rPr>
                <w:color w:val="000000"/>
                <w:sz w:val="20"/>
              </w:rPr>
            </w:pPr>
          </w:p>
          <w:p w14:paraId="426C5B0A" w14:textId="77777777" w:rsidR="00A77B3E" w:rsidRDefault="00000000">
            <w:pPr>
              <w:spacing w:before="100"/>
              <w:rPr>
                <w:color w:val="000000"/>
                <w:sz w:val="20"/>
              </w:rPr>
            </w:pPr>
            <w:r>
              <w:rPr>
                <w:color w:val="000000"/>
                <w:sz w:val="20"/>
              </w:rPr>
              <w:t>IHREC is the independent monitoring mechanism for UNCRPD in Ireland, and will work with the NDA to carry out this task.</w:t>
            </w:r>
          </w:p>
          <w:p w14:paraId="51ED5C08" w14:textId="77777777" w:rsidR="00A77B3E" w:rsidRDefault="00A77B3E">
            <w:pPr>
              <w:spacing w:before="100"/>
              <w:rPr>
                <w:color w:val="000000"/>
                <w:sz w:val="20"/>
              </w:rPr>
            </w:pPr>
          </w:p>
          <w:p w14:paraId="19F0911A" w14:textId="77777777" w:rsidR="00A77B3E" w:rsidRDefault="00000000">
            <w:pPr>
              <w:spacing w:before="100"/>
              <w:rPr>
                <w:color w:val="000000"/>
                <w:sz w:val="20"/>
              </w:rPr>
            </w:pPr>
            <w:r>
              <w:rPr>
                <w:color w:val="000000"/>
                <w:sz w:val="20"/>
              </w:rPr>
              <w:t xml:space="preserve">A Disability Participation and Consultation Network has been established to ensure that persons with disabilities have input into the formation of policy and legislation in Ireland. </w:t>
            </w:r>
          </w:p>
          <w:p w14:paraId="3CFB3F07" w14:textId="77777777" w:rsidR="00A77B3E" w:rsidRDefault="00A77B3E">
            <w:pPr>
              <w:spacing w:before="100"/>
              <w:rPr>
                <w:color w:val="000000"/>
                <w:sz w:val="20"/>
              </w:rPr>
            </w:pPr>
          </w:p>
        </w:tc>
      </w:tr>
      <w:tr w:rsidR="00B82D50" w14:paraId="020CBB8C"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83A13A"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CD268E"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4CF26B"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FCF519"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538E3B" w14:textId="77777777" w:rsidR="00A77B3E" w:rsidRDefault="00000000">
            <w:pPr>
              <w:spacing w:before="100"/>
              <w:rPr>
                <w:color w:val="000000"/>
                <w:sz w:val="20"/>
              </w:rPr>
            </w:pPr>
            <w:r>
              <w:rPr>
                <w:color w:val="000000"/>
                <w:sz w:val="20"/>
              </w:rPr>
              <w:t>2. Arrangements to ensure that accessibility policy, legislation and standards are properly reflected in the preparation and implementation of the programmes.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D845895"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9471C60" w14:textId="77777777" w:rsidR="00A77B3E" w:rsidRDefault="00000000">
            <w:pPr>
              <w:spacing w:before="100"/>
              <w:rPr>
                <w:color w:val="000000"/>
                <w:sz w:val="20"/>
              </w:rPr>
            </w:pPr>
            <w:r>
              <w:rPr>
                <w:color w:val="000000"/>
                <w:sz w:val="20"/>
              </w:rPr>
              <w:t>The National Disability Inclusion Strategy</w:t>
            </w:r>
          </w:p>
          <w:p w14:paraId="48187D52" w14:textId="77777777" w:rsidR="00A77B3E" w:rsidRDefault="00A77B3E">
            <w:pPr>
              <w:spacing w:before="100"/>
              <w:rPr>
                <w:color w:val="000000"/>
                <w:sz w:val="20"/>
              </w:rPr>
            </w:pPr>
          </w:p>
          <w:p w14:paraId="6E8C8296" w14:textId="77777777" w:rsidR="00A77B3E" w:rsidRDefault="00000000">
            <w:pPr>
              <w:spacing w:before="100"/>
              <w:rPr>
                <w:color w:val="000000"/>
                <w:sz w:val="20"/>
              </w:rPr>
            </w:pPr>
            <w:r>
              <w:rPr>
                <w:color w:val="000000"/>
                <w:sz w:val="20"/>
              </w:rPr>
              <w:t xml:space="preserve">Comprehensive Employment Strategy for People with Disabilities 2015-24 </w:t>
            </w:r>
          </w:p>
          <w:p w14:paraId="1F7A9F7E" w14:textId="77777777" w:rsidR="00A77B3E" w:rsidRDefault="00A77B3E">
            <w:pPr>
              <w:spacing w:before="100"/>
              <w:rPr>
                <w:color w:val="000000"/>
                <w:sz w:val="20"/>
              </w:rPr>
            </w:pPr>
          </w:p>
          <w:p w14:paraId="3E4566F0" w14:textId="77777777" w:rsidR="00A77B3E" w:rsidRDefault="00000000">
            <w:pPr>
              <w:spacing w:before="100"/>
              <w:rPr>
                <w:color w:val="000000"/>
                <w:sz w:val="20"/>
              </w:rPr>
            </w:pPr>
            <w:r>
              <w:rPr>
                <w:color w:val="000000"/>
                <w:sz w:val="20"/>
              </w:rPr>
              <w:t>Disability Act 2005</w:t>
            </w:r>
          </w:p>
          <w:p w14:paraId="078AC794" w14:textId="77777777" w:rsidR="00A77B3E" w:rsidRDefault="00A77B3E">
            <w:pPr>
              <w:spacing w:before="100"/>
              <w:rPr>
                <w:color w:val="000000"/>
                <w:sz w:val="20"/>
              </w:rPr>
            </w:pPr>
          </w:p>
          <w:p w14:paraId="721729B1" w14:textId="77777777" w:rsidR="00A77B3E" w:rsidRDefault="00000000">
            <w:pPr>
              <w:spacing w:before="100"/>
              <w:rPr>
                <w:color w:val="000000"/>
                <w:sz w:val="20"/>
              </w:rPr>
            </w:pPr>
            <w:r>
              <w:rPr>
                <w:color w:val="000000"/>
                <w:sz w:val="20"/>
              </w:rPr>
              <w:t>Employment Equality Act 1998-2015</w:t>
            </w:r>
          </w:p>
          <w:p w14:paraId="7DA75C97" w14:textId="77777777" w:rsidR="00A77B3E" w:rsidRDefault="00A77B3E">
            <w:pPr>
              <w:spacing w:before="100"/>
              <w:rPr>
                <w:color w:val="000000"/>
                <w:sz w:val="20"/>
              </w:rPr>
            </w:pPr>
          </w:p>
          <w:p w14:paraId="1897FF46" w14:textId="77777777" w:rsidR="00A77B3E" w:rsidRDefault="00000000">
            <w:pPr>
              <w:spacing w:before="100"/>
              <w:rPr>
                <w:color w:val="000000"/>
                <w:sz w:val="20"/>
              </w:rPr>
            </w:pPr>
            <w:r>
              <w:rPr>
                <w:color w:val="000000"/>
                <w:sz w:val="20"/>
              </w:rPr>
              <w:t>Equal Status Act 2000-2018</w:t>
            </w:r>
          </w:p>
          <w:p w14:paraId="1A28E1FF" w14:textId="77777777" w:rsidR="00A77B3E" w:rsidRDefault="00A77B3E">
            <w:pPr>
              <w:spacing w:before="100"/>
              <w:rPr>
                <w:color w:val="000000"/>
                <w:sz w:val="20"/>
              </w:rPr>
            </w:pPr>
          </w:p>
          <w:p w14:paraId="2D72A4A4" w14:textId="77777777" w:rsidR="00A77B3E" w:rsidRDefault="00000000">
            <w:pPr>
              <w:spacing w:before="100"/>
              <w:rPr>
                <w:color w:val="000000"/>
                <w:sz w:val="20"/>
              </w:rPr>
            </w:pPr>
            <w:r>
              <w:rPr>
                <w:color w:val="000000"/>
                <w:sz w:val="20"/>
              </w:rPr>
              <w:t>NDA Code of Practice on Accessibility of Public Services and Information provided by Public Bodies</w:t>
            </w:r>
          </w:p>
          <w:p w14:paraId="2222F97A" w14:textId="77777777" w:rsidR="00A77B3E" w:rsidRDefault="00A77B3E">
            <w:pPr>
              <w:spacing w:before="100"/>
              <w:rPr>
                <w:color w:val="000000"/>
                <w:sz w:val="20"/>
              </w:rPr>
            </w:pPr>
          </w:p>
          <w:p w14:paraId="32C98541" w14:textId="77777777" w:rsidR="00A77B3E" w:rsidRDefault="00A77B3E">
            <w:pPr>
              <w:spacing w:before="100"/>
              <w:rPr>
                <w:color w:val="000000"/>
                <w:sz w:val="20"/>
              </w:rPr>
            </w:pPr>
          </w:p>
          <w:p w14:paraId="7809D079" w14:textId="77777777" w:rsidR="00A77B3E" w:rsidRDefault="00000000">
            <w:pPr>
              <w:spacing w:before="100"/>
              <w:rPr>
                <w:color w:val="000000"/>
                <w:sz w:val="20"/>
              </w:rPr>
            </w:pPr>
            <w:r>
              <w:rPr>
                <w:color w:val="000000"/>
                <w:sz w:val="20"/>
              </w:rPr>
              <w:t>NDA Centre for Excellence in Universal Design</w:t>
            </w:r>
          </w:p>
          <w:p w14:paraId="2B8FA533" w14:textId="77777777" w:rsidR="00A77B3E" w:rsidRDefault="00A77B3E">
            <w:pPr>
              <w:spacing w:before="100"/>
              <w:rPr>
                <w:color w:val="000000"/>
                <w:sz w:val="20"/>
              </w:rPr>
            </w:pPr>
          </w:p>
          <w:p w14:paraId="40C15717" w14:textId="77777777" w:rsidR="00A77B3E" w:rsidRDefault="00000000">
            <w:pPr>
              <w:spacing w:before="100"/>
              <w:rPr>
                <w:color w:val="000000"/>
                <w:sz w:val="20"/>
              </w:rPr>
            </w:pPr>
            <w:r>
              <w:rPr>
                <w:color w:val="000000"/>
                <w:sz w:val="20"/>
              </w:rPr>
              <w:t>Implementing the Public Sector Equality and Human Rights Duty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36E4B9" w14:textId="77777777" w:rsidR="00A77B3E" w:rsidRDefault="00000000">
            <w:pPr>
              <w:spacing w:before="100"/>
              <w:rPr>
                <w:color w:val="000000"/>
                <w:sz w:val="20"/>
              </w:rPr>
            </w:pPr>
            <w:r>
              <w:rPr>
                <w:color w:val="000000"/>
                <w:sz w:val="20"/>
              </w:rPr>
              <w:lastRenderedPageBreak/>
              <w:t xml:space="preserve">The MAs will ensure that accessibility policy, legislation and standards are properly reflected in the preparation and implementation of programmes. Where relevant, interventions will be aligned </w:t>
            </w:r>
            <w:r>
              <w:rPr>
                <w:color w:val="000000"/>
                <w:sz w:val="20"/>
              </w:rPr>
              <w:lastRenderedPageBreak/>
              <w:t>with and enable progress on the implementation of the NDIS &amp; CESPD.</w:t>
            </w:r>
          </w:p>
          <w:p w14:paraId="58F15F1A" w14:textId="77777777" w:rsidR="00A77B3E" w:rsidRDefault="00A77B3E">
            <w:pPr>
              <w:spacing w:before="100"/>
              <w:rPr>
                <w:color w:val="000000"/>
                <w:sz w:val="20"/>
              </w:rPr>
            </w:pPr>
          </w:p>
          <w:p w14:paraId="3EDA56BD" w14:textId="77777777" w:rsidR="00A77B3E" w:rsidRDefault="00000000">
            <w:pPr>
              <w:spacing w:before="100"/>
              <w:rPr>
                <w:color w:val="000000"/>
                <w:sz w:val="20"/>
              </w:rPr>
            </w:pPr>
            <w:r>
              <w:rPr>
                <w:color w:val="000000"/>
                <w:sz w:val="20"/>
              </w:rPr>
              <w:t>The NDA and IHREC are members of the Partnership Process Steering Group which advises on preparation for 2021-27 and will be consulted throughout the development of the PA and OPs. They will be invited to sit on the Monitoring Committees.</w:t>
            </w:r>
          </w:p>
          <w:p w14:paraId="593E78E2" w14:textId="77777777" w:rsidR="00A77B3E" w:rsidRDefault="00A77B3E">
            <w:pPr>
              <w:spacing w:before="100"/>
              <w:rPr>
                <w:color w:val="000000"/>
                <w:sz w:val="20"/>
              </w:rPr>
            </w:pPr>
          </w:p>
          <w:p w14:paraId="4CB06957" w14:textId="77777777" w:rsidR="00A77B3E" w:rsidRDefault="00000000">
            <w:pPr>
              <w:spacing w:before="100"/>
              <w:rPr>
                <w:color w:val="000000"/>
                <w:sz w:val="20"/>
              </w:rPr>
            </w:pPr>
            <w:r>
              <w:rPr>
                <w:color w:val="000000"/>
                <w:sz w:val="20"/>
              </w:rPr>
              <w:t>The MAs will ensure that accessibility policy, legislation and standards will be reflected in all stages through consultation on key documents and active monitoring.  Relevant policy, legislation and standards include the NDIS, CESPD, the Disability Act and the Equality Acts. The NDA and IHREC have developed detailed guidance for use by public bodies involved in preparation and implementation of programmes. Each IB or scheme delivery partner will report annually on disability issues.</w:t>
            </w:r>
          </w:p>
          <w:p w14:paraId="26C61662" w14:textId="77777777" w:rsidR="00A77B3E" w:rsidRDefault="00A77B3E">
            <w:pPr>
              <w:spacing w:before="100"/>
              <w:rPr>
                <w:color w:val="000000"/>
                <w:sz w:val="20"/>
              </w:rPr>
            </w:pPr>
          </w:p>
          <w:p w14:paraId="18557709" w14:textId="77777777" w:rsidR="00A77B3E" w:rsidRDefault="00000000">
            <w:pPr>
              <w:spacing w:before="100"/>
              <w:rPr>
                <w:color w:val="000000"/>
                <w:sz w:val="20"/>
              </w:rPr>
            </w:pPr>
            <w:r>
              <w:rPr>
                <w:color w:val="000000"/>
                <w:sz w:val="20"/>
              </w:rPr>
              <w:t>Training in relation to disability issues will be procured and provided to staff in the MAs, IBs and Beneficiaries as required.</w:t>
            </w:r>
          </w:p>
          <w:p w14:paraId="21C4480C" w14:textId="77777777" w:rsidR="00A77B3E" w:rsidRDefault="00A77B3E">
            <w:pPr>
              <w:spacing w:before="100"/>
              <w:rPr>
                <w:color w:val="000000"/>
                <w:sz w:val="20"/>
              </w:rPr>
            </w:pPr>
          </w:p>
        </w:tc>
      </w:tr>
      <w:tr w:rsidR="00B82D50" w14:paraId="4DDD2A7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838C67"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AE1B24"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542F1D"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A028E7"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74DF6B2" w14:textId="77777777" w:rsidR="00A77B3E" w:rsidRDefault="00000000">
            <w:pPr>
              <w:spacing w:before="100"/>
              <w:rPr>
                <w:color w:val="000000"/>
                <w:sz w:val="20"/>
              </w:rPr>
            </w:pPr>
            <w:r>
              <w:rPr>
                <w:color w:val="000000"/>
                <w:sz w:val="20"/>
              </w:rPr>
              <w:t xml:space="preserve">3. Reporting arrangements to the monitoring committee regarding cases of non-compliance of operations supported by the </w:t>
            </w:r>
            <w:r>
              <w:rPr>
                <w:color w:val="000000"/>
                <w:sz w:val="20"/>
              </w:rPr>
              <w:lastRenderedPageBreak/>
              <w:t>Funds with the UNCRPD and complaints regarding the UNCRPD submitted in accordance with the arrangements made pursuant to Article 69(7).</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FDB6CC" w14:textId="77777777" w:rsidR="00A77B3E" w:rsidRDefault="00000000">
            <w:pPr>
              <w:spacing w:before="100"/>
              <w:jc w:val="center"/>
              <w:rPr>
                <w:color w:val="000000"/>
                <w:sz w:val="20"/>
              </w:rPr>
            </w:pPr>
            <w:r>
              <w:rPr>
                <w:color w:val="000000"/>
                <w:sz w:val="20"/>
              </w:rPr>
              <w:lastRenderedPageBreak/>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45A896D" w14:textId="77777777" w:rsidR="00A77B3E" w:rsidRDefault="00000000">
            <w:pPr>
              <w:spacing w:before="100"/>
              <w:rPr>
                <w:color w:val="000000"/>
                <w:sz w:val="20"/>
              </w:rPr>
            </w:pPr>
            <w:r>
              <w:rPr>
                <w:color w:val="000000"/>
                <w:sz w:val="20"/>
              </w:rPr>
              <w:t>https://www.ihrec.ie/</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56E1DC" w14:textId="77777777" w:rsidR="00A77B3E" w:rsidRDefault="00000000">
            <w:pPr>
              <w:spacing w:before="100"/>
              <w:rPr>
                <w:color w:val="000000"/>
                <w:sz w:val="20"/>
              </w:rPr>
            </w:pPr>
            <w:r>
              <w:rPr>
                <w:color w:val="000000"/>
                <w:sz w:val="20"/>
              </w:rPr>
              <w:t xml:space="preserve">Where a complaint regarding UNCRPD or potential case of non-compliance of operations supported by the Funds with UNCRPD is brought to the attention of </w:t>
            </w:r>
            <w:r>
              <w:rPr>
                <w:color w:val="000000"/>
                <w:sz w:val="20"/>
              </w:rPr>
              <w:lastRenderedPageBreak/>
              <w:t>the MA, the MA will establish the facts of the case. If the case is established by the MA to be a potential breach of UNCRPD, the MA will request that IHREC provide their assessment. The MA will state clearly the reasons for its belief that a potential breach of UNCRPD has occurred.</w:t>
            </w:r>
          </w:p>
          <w:p w14:paraId="70235E6E" w14:textId="77777777" w:rsidR="00A77B3E" w:rsidRDefault="00A77B3E">
            <w:pPr>
              <w:spacing w:before="100"/>
              <w:rPr>
                <w:color w:val="000000"/>
                <w:sz w:val="20"/>
              </w:rPr>
            </w:pPr>
          </w:p>
          <w:p w14:paraId="17EA93EE" w14:textId="77777777" w:rsidR="00A77B3E" w:rsidRDefault="00000000">
            <w:pPr>
              <w:spacing w:before="100"/>
              <w:rPr>
                <w:color w:val="000000"/>
                <w:sz w:val="20"/>
              </w:rPr>
            </w:pPr>
            <w:r>
              <w:rPr>
                <w:color w:val="000000"/>
                <w:sz w:val="20"/>
              </w:rPr>
              <w:t>Upon formal receipt of this request, IHREC will complete their assessment with reference to Ireland’s obligations under UNCRPD, the Employment Equality Acts and the Equal Status Acts. Where IHREC deem that UNCRPD has not been complied with, they will inform the Monitoring Committee.  IHREC will set out its findings in a report and propose recommendations, if any, drawing on the Public Sector Duty and the guidance tool developed by IHREC and the MAs to support integration of equality and human rights under the Funds.  The MA will respond and inform the Committee of any remedial actions taken and of the scope to draw lessons for the implementation of programmes. Reporting on any cases of non-compliance and complaints will take place at least annually.</w:t>
            </w:r>
          </w:p>
          <w:p w14:paraId="1D39CF94" w14:textId="77777777" w:rsidR="00A77B3E" w:rsidRDefault="00A77B3E">
            <w:pPr>
              <w:spacing w:before="100"/>
              <w:rPr>
                <w:color w:val="000000"/>
                <w:sz w:val="20"/>
              </w:rPr>
            </w:pPr>
          </w:p>
        </w:tc>
      </w:tr>
      <w:tr w:rsidR="00B82D50" w14:paraId="1DC1AA26"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8B419C9" w14:textId="77777777" w:rsidR="00A77B3E" w:rsidRDefault="00000000">
            <w:pPr>
              <w:spacing w:before="100"/>
              <w:rPr>
                <w:color w:val="000000"/>
                <w:sz w:val="20"/>
              </w:rPr>
            </w:pPr>
            <w:r>
              <w:rPr>
                <w:color w:val="000000"/>
                <w:sz w:val="20"/>
              </w:rPr>
              <w:lastRenderedPageBreak/>
              <w:t xml:space="preserve">1.1. Good governance of national or regional smart </w:t>
            </w:r>
            <w:proofErr w:type="spellStart"/>
            <w:r>
              <w:rPr>
                <w:color w:val="000000"/>
                <w:sz w:val="20"/>
              </w:rPr>
              <w:t>specialisation</w:t>
            </w:r>
            <w:proofErr w:type="spellEnd"/>
            <w:r>
              <w:rPr>
                <w:color w:val="000000"/>
                <w:sz w:val="20"/>
              </w:rPr>
              <w:t xml:space="preserve"> strategy</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4E1114" w14:textId="77777777" w:rsidR="00A77B3E" w:rsidRDefault="00A77B3E">
            <w:pPr>
              <w:spacing w:before="100"/>
              <w:rPr>
                <w:color w:val="000000"/>
                <w:sz w:val="20"/>
              </w:rPr>
            </w:pPr>
          </w:p>
          <w:p w14:paraId="7DF21D07" w14:textId="77777777" w:rsidR="00A77B3E" w:rsidRDefault="00000000">
            <w:pPr>
              <w:spacing w:before="100"/>
              <w:rPr>
                <w:color w:val="000000"/>
                <w:sz w:val="20"/>
                <w:szCs w:val="20"/>
              </w:rPr>
            </w:pPr>
            <w:r>
              <w:rPr>
                <w:color w:val="000000"/>
                <w:sz w:val="20"/>
                <w:szCs w:val="20"/>
              </w:rPr>
              <w:t>ERDF</w:t>
            </w:r>
          </w:p>
          <w:p w14:paraId="4C50A3FB"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CAFB990" w14:textId="77777777" w:rsidR="00A77B3E" w:rsidRDefault="00A77B3E">
            <w:pPr>
              <w:spacing w:before="100"/>
              <w:rPr>
                <w:color w:val="000000"/>
                <w:sz w:val="20"/>
              </w:rPr>
            </w:pPr>
          </w:p>
          <w:p w14:paraId="0C6E99F0" w14:textId="77777777" w:rsidR="00A77B3E" w:rsidRDefault="00000000">
            <w:pPr>
              <w:spacing w:before="100"/>
              <w:rPr>
                <w:color w:val="000000"/>
                <w:sz w:val="20"/>
                <w:szCs w:val="20"/>
              </w:rPr>
            </w:pPr>
            <w:r>
              <w:rPr>
                <w:color w:val="000000"/>
                <w:sz w:val="20"/>
                <w:szCs w:val="20"/>
              </w:rPr>
              <w:t xml:space="preserve">RSO1.1. Developing and enhancing research and innovation </w:t>
            </w:r>
            <w:r>
              <w:rPr>
                <w:color w:val="000000"/>
                <w:sz w:val="20"/>
                <w:szCs w:val="20"/>
              </w:rPr>
              <w:lastRenderedPageBreak/>
              <w:t>capacities and the uptake of advanced technologies</w:t>
            </w:r>
          </w:p>
          <w:p w14:paraId="0A1450C0"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6A90F1" w14:textId="77777777" w:rsidR="00A77B3E" w:rsidRDefault="00000000">
            <w:pPr>
              <w:spacing w:before="100"/>
              <w:jc w:val="center"/>
              <w:rPr>
                <w:color w:val="000000"/>
                <w:sz w:val="20"/>
              </w:rPr>
            </w:pPr>
            <w:r>
              <w:rPr>
                <w:color w:val="000000"/>
                <w:sz w:val="20"/>
              </w:rPr>
              <w:lastRenderedPageBreak/>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475A6C" w14:textId="77777777" w:rsidR="00A77B3E" w:rsidRDefault="00000000">
            <w:pPr>
              <w:spacing w:before="100"/>
              <w:rPr>
                <w:color w:val="000000"/>
                <w:sz w:val="20"/>
              </w:rPr>
            </w:pPr>
            <w:r>
              <w:rPr>
                <w:color w:val="000000"/>
                <w:sz w:val="20"/>
              </w:rPr>
              <w:t xml:space="preserve">Smart </w:t>
            </w:r>
            <w:proofErr w:type="spellStart"/>
            <w:r>
              <w:rPr>
                <w:color w:val="000000"/>
                <w:sz w:val="20"/>
              </w:rPr>
              <w:t>specialisation</w:t>
            </w:r>
            <w:proofErr w:type="spellEnd"/>
            <w:r>
              <w:rPr>
                <w:color w:val="000000"/>
                <w:sz w:val="20"/>
              </w:rPr>
              <w:t xml:space="preserve"> strategy or strategies shall be supported by: </w:t>
            </w:r>
          </w:p>
          <w:p w14:paraId="3B64B827" w14:textId="77777777" w:rsidR="00A77B3E" w:rsidRDefault="00000000">
            <w:pPr>
              <w:spacing w:before="100"/>
              <w:rPr>
                <w:color w:val="000000"/>
                <w:sz w:val="20"/>
              </w:rPr>
            </w:pPr>
            <w:r>
              <w:rPr>
                <w:color w:val="000000"/>
                <w:sz w:val="20"/>
              </w:rPr>
              <w:t xml:space="preserve">1. Up-to-date analysis of challenges for innovation diffusion and </w:t>
            </w:r>
            <w:proofErr w:type="spellStart"/>
            <w:r>
              <w:rPr>
                <w:color w:val="000000"/>
                <w:sz w:val="20"/>
              </w:rPr>
              <w:t>digitalisation</w:t>
            </w:r>
            <w:proofErr w:type="spellEnd"/>
            <w:r>
              <w:rPr>
                <w:color w:val="000000"/>
                <w:sz w:val="20"/>
              </w:rPr>
              <w: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1F97E9F"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7B540D" w14:textId="77777777" w:rsidR="00A77B3E" w:rsidRDefault="00000000">
            <w:pPr>
              <w:spacing w:before="100"/>
              <w:rPr>
                <w:color w:val="000000"/>
                <w:sz w:val="20"/>
              </w:rPr>
            </w:pPr>
            <w:r>
              <w:rPr>
                <w:color w:val="000000"/>
                <w:sz w:val="20"/>
              </w:rPr>
              <w:t xml:space="preserve">Chapter 4.4 of the National Smart </w:t>
            </w:r>
            <w:proofErr w:type="spellStart"/>
            <w:r>
              <w:rPr>
                <w:color w:val="000000"/>
                <w:sz w:val="20"/>
              </w:rPr>
              <w:t>Specialisation</w:t>
            </w:r>
            <w:proofErr w:type="spellEnd"/>
            <w:r>
              <w:rPr>
                <w:color w:val="000000"/>
                <w:sz w:val="20"/>
              </w:rPr>
              <w:t xml:space="preserve"> Strategy for Research and Innovation 2021-2027 reflect Ireland’s policy and developments on innovation diffusion.</w:t>
            </w:r>
          </w:p>
          <w:p w14:paraId="45548310" w14:textId="77777777" w:rsidR="00A77B3E" w:rsidRDefault="00A77B3E">
            <w:pPr>
              <w:spacing w:before="100"/>
              <w:rPr>
                <w:color w:val="000000"/>
                <w:sz w:val="20"/>
              </w:rPr>
            </w:pPr>
          </w:p>
          <w:p w14:paraId="5634DEE5" w14:textId="77777777" w:rsidR="00A77B3E" w:rsidRDefault="00000000">
            <w:pPr>
              <w:spacing w:before="100"/>
              <w:rPr>
                <w:color w:val="000000"/>
                <w:sz w:val="20"/>
              </w:rPr>
            </w:pPr>
            <w:r>
              <w:rPr>
                <w:color w:val="000000"/>
                <w:sz w:val="20"/>
              </w:rPr>
              <w:lastRenderedPageBreak/>
              <w:t xml:space="preserve">2018 report (p.49) - Assessing Impact of </w:t>
            </w:r>
            <w:proofErr w:type="spellStart"/>
            <w:r>
              <w:rPr>
                <w:color w:val="000000"/>
                <w:sz w:val="20"/>
              </w:rPr>
              <w:t>Digitalisation</w:t>
            </w:r>
            <w:proofErr w:type="spellEnd"/>
            <w:r>
              <w:rPr>
                <w:color w:val="000000"/>
                <w:sz w:val="20"/>
              </w:rPr>
              <w:t xml:space="preserve"> on Ireland’s Workforce</w:t>
            </w:r>
          </w:p>
          <w:p w14:paraId="4557C81D" w14:textId="77777777" w:rsidR="00A77B3E" w:rsidRDefault="00A77B3E">
            <w:pPr>
              <w:spacing w:before="100"/>
              <w:rPr>
                <w:color w:val="000000"/>
                <w:sz w:val="20"/>
              </w:rPr>
            </w:pPr>
          </w:p>
          <w:p w14:paraId="53A4E0F8" w14:textId="77777777" w:rsidR="00A77B3E" w:rsidRDefault="00000000">
            <w:pPr>
              <w:spacing w:before="100"/>
              <w:rPr>
                <w:color w:val="000000"/>
                <w:sz w:val="20"/>
              </w:rPr>
            </w:pPr>
            <w:r>
              <w:rPr>
                <w:color w:val="000000"/>
                <w:sz w:val="20"/>
              </w:rPr>
              <w:t xml:space="preserve">(p. 242) 2019 OECD Report on Ireland's SME and Entrepreneurship Policy </w:t>
            </w:r>
          </w:p>
          <w:p w14:paraId="77575B2A" w14:textId="77777777" w:rsidR="00A77B3E" w:rsidRDefault="00A77B3E">
            <w:pPr>
              <w:spacing w:before="100"/>
              <w:rPr>
                <w:color w:val="000000"/>
                <w:sz w:val="20"/>
              </w:rPr>
            </w:pPr>
          </w:p>
          <w:p w14:paraId="6D5148A0" w14:textId="77777777" w:rsidR="00A77B3E" w:rsidRDefault="00000000">
            <w:pPr>
              <w:spacing w:before="100"/>
              <w:rPr>
                <w:color w:val="000000"/>
                <w:sz w:val="20"/>
              </w:rPr>
            </w:pPr>
            <w:r>
              <w:rPr>
                <w:color w:val="000000"/>
                <w:sz w:val="20"/>
              </w:rPr>
              <w:t>Ireland’s Industry 4.0 Strategy 2020-2025</w:t>
            </w:r>
          </w:p>
          <w:p w14:paraId="625C1164" w14:textId="77777777" w:rsidR="00A77B3E" w:rsidRDefault="00A77B3E">
            <w:pPr>
              <w:spacing w:before="100"/>
              <w:rPr>
                <w:color w:val="000000"/>
                <w:sz w:val="20"/>
              </w:rPr>
            </w:pPr>
          </w:p>
          <w:p w14:paraId="01141F7F" w14:textId="77777777" w:rsidR="00A77B3E" w:rsidRDefault="00000000">
            <w:pPr>
              <w:spacing w:before="100"/>
              <w:rPr>
                <w:color w:val="000000"/>
                <w:sz w:val="20"/>
              </w:rPr>
            </w:pPr>
            <w:r>
              <w:rPr>
                <w:color w:val="000000"/>
                <w:sz w:val="20"/>
              </w:rPr>
              <w:t>Enterprise 2025 Renewed</w:t>
            </w:r>
          </w:p>
          <w:p w14:paraId="7C08E968" w14:textId="77777777" w:rsidR="00A77B3E" w:rsidRDefault="00A77B3E">
            <w:pPr>
              <w:spacing w:before="100"/>
              <w:rPr>
                <w:color w:val="000000"/>
                <w:sz w:val="20"/>
              </w:rPr>
            </w:pPr>
          </w:p>
          <w:p w14:paraId="7CEF234E" w14:textId="77777777" w:rsidR="00A77B3E" w:rsidRDefault="00000000">
            <w:pPr>
              <w:spacing w:before="100"/>
              <w:rPr>
                <w:color w:val="000000"/>
                <w:sz w:val="20"/>
              </w:rPr>
            </w:pPr>
            <w:proofErr w:type="spellStart"/>
            <w:r>
              <w:rPr>
                <w:color w:val="000000"/>
                <w:sz w:val="20"/>
              </w:rPr>
              <w:t>Digitalisation</w:t>
            </w:r>
            <w:proofErr w:type="spellEnd"/>
            <w:r>
              <w:rPr>
                <w:color w:val="000000"/>
                <w:sz w:val="20"/>
              </w:rPr>
              <w:t xml:space="preserve"> of SMEs in Ireland</w:t>
            </w:r>
          </w:p>
          <w:p w14:paraId="7D2A5BB2" w14:textId="77777777" w:rsidR="00A77B3E" w:rsidRDefault="00A77B3E">
            <w:pPr>
              <w:spacing w:before="100"/>
              <w:rPr>
                <w:color w:val="000000"/>
                <w:sz w:val="20"/>
              </w:rPr>
            </w:pPr>
          </w:p>
          <w:p w14:paraId="5D0CBF50" w14:textId="77777777" w:rsidR="00A77B3E" w:rsidRDefault="00000000">
            <w:pPr>
              <w:spacing w:before="100"/>
              <w:rPr>
                <w:color w:val="000000"/>
                <w:sz w:val="20"/>
              </w:rPr>
            </w:pPr>
            <w:r>
              <w:rPr>
                <w:color w:val="000000"/>
                <w:sz w:val="20"/>
              </w:rPr>
              <w:t>Science Foundation Ireland Strategy 2025</w:t>
            </w:r>
          </w:p>
          <w:p w14:paraId="4D143F72" w14:textId="77777777" w:rsidR="00A77B3E" w:rsidRDefault="00A77B3E">
            <w:pPr>
              <w:spacing w:before="100"/>
              <w:rPr>
                <w:color w:val="000000"/>
                <w:sz w:val="20"/>
              </w:rPr>
            </w:pPr>
          </w:p>
          <w:p w14:paraId="1CD2DB06" w14:textId="77777777" w:rsidR="00A77B3E" w:rsidRDefault="00000000">
            <w:pPr>
              <w:spacing w:before="100"/>
              <w:rPr>
                <w:color w:val="000000"/>
                <w:sz w:val="20"/>
              </w:rPr>
            </w:pPr>
            <w:r>
              <w:rPr>
                <w:color w:val="000000"/>
                <w:sz w:val="20"/>
              </w:rPr>
              <w:t>New Regional Enterprise Plans to 2024, supported by regional stakeholder committees.</w:t>
            </w:r>
          </w:p>
          <w:p w14:paraId="60292A27" w14:textId="77777777" w:rsidR="00A77B3E" w:rsidRDefault="00A77B3E">
            <w:pPr>
              <w:spacing w:before="100"/>
              <w:rPr>
                <w:color w:val="000000"/>
                <w:sz w:val="20"/>
              </w:rPr>
            </w:pPr>
          </w:p>
          <w:p w14:paraId="2643041E" w14:textId="77777777" w:rsidR="00A77B3E" w:rsidRDefault="00000000">
            <w:pPr>
              <w:spacing w:before="100"/>
              <w:rPr>
                <w:color w:val="000000"/>
                <w:sz w:val="20"/>
              </w:rPr>
            </w:pPr>
            <w:r>
              <w:rPr>
                <w:color w:val="000000"/>
                <w:sz w:val="20"/>
              </w:rPr>
              <w:t>Interreg Europe COHES3ION</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01C697" w14:textId="77777777" w:rsidR="00A77B3E" w:rsidRDefault="00000000">
            <w:pPr>
              <w:spacing w:before="100"/>
              <w:rPr>
                <w:color w:val="000000"/>
                <w:sz w:val="20"/>
              </w:rPr>
            </w:pPr>
            <w:r>
              <w:rPr>
                <w:color w:val="000000"/>
                <w:sz w:val="20"/>
              </w:rPr>
              <w:lastRenderedPageBreak/>
              <w:t xml:space="preserve">While various supports from State agencies, national RD&amp;I institutes and academic-business collaborations assist innovation diffusion, barriers remain. These include lack of collaboration between domestic enterprises and MNCs </w:t>
            </w:r>
            <w:r>
              <w:rPr>
                <w:color w:val="000000"/>
                <w:sz w:val="20"/>
              </w:rPr>
              <w:lastRenderedPageBreak/>
              <w:t>in RD&amp;I; low levels of investment in RD&amp;I by domestic enterprises relative to MNCs; low levels of public RD&amp;I expenditure; lack of awareness of RD&amp;I fiscal supports; and complexity of the RD&amp;I support environment.</w:t>
            </w:r>
          </w:p>
          <w:p w14:paraId="032C8AF1" w14:textId="77777777" w:rsidR="00A77B3E" w:rsidRDefault="00A77B3E">
            <w:pPr>
              <w:spacing w:before="100"/>
              <w:rPr>
                <w:color w:val="000000"/>
                <w:sz w:val="20"/>
              </w:rPr>
            </w:pPr>
          </w:p>
          <w:p w14:paraId="5EDAEB3C" w14:textId="77777777" w:rsidR="00A77B3E" w:rsidRDefault="00000000">
            <w:pPr>
              <w:spacing w:before="100"/>
              <w:rPr>
                <w:color w:val="000000"/>
                <w:sz w:val="20"/>
              </w:rPr>
            </w:pPr>
            <w:r>
              <w:rPr>
                <w:color w:val="000000"/>
                <w:sz w:val="20"/>
              </w:rPr>
              <w:t>A 2018 EGFSN report on digital skills highlighted that certain regions, including the Midland region, were most at risk from automation.</w:t>
            </w:r>
          </w:p>
          <w:p w14:paraId="0F7F32AC" w14:textId="77777777" w:rsidR="00A77B3E" w:rsidRDefault="00A77B3E">
            <w:pPr>
              <w:spacing w:before="100"/>
              <w:rPr>
                <w:color w:val="000000"/>
                <w:sz w:val="20"/>
              </w:rPr>
            </w:pPr>
          </w:p>
          <w:p w14:paraId="1DC79ABF" w14:textId="77777777" w:rsidR="00A77B3E" w:rsidRDefault="00000000">
            <w:pPr>
              <w:spacing w:before="100"/>
              <w:rPr>
                <w:color w:val="000000"/>
                <w:sz w:val="20"/>
              </w:rPr>
            </w:pPr>
            <w:r>
              <w:rPr>
                <w:color w:val="000000"/>
                <w:sz w:val="20"/>
              </w:rPr>
              <w:t xml:space="preserve">A 2019 OECD report on Ireland's SME and entrepreneurship policy highlighted a digital skills deficit linked to a knowledge and financing gap, referencing the DETE-commissioned report from the EIB on SME </w:t>
            </w:r>
            <w:proofErr w:type="spellStart"/>
            <w:r>
              <w:rPr>
                <w:color w:val="000000"/>
                <w:sz w:val="20"/>
              </w:rPr>
              <w:t>digitalisation</w:t>
            </w:r>
            <w:proofErr w:type="spellEnd"/>
            <w:r>
              <w:rPr>
                <w:color w:val="000000"/>
                <w:sz w:val="20"/>
              </w:rPr>
              <w:t>.</w:t>
            </w:r>
          </w:p>
          <w:p w14:paraId="0D8855F3" w14:textId="77777777" w:rsidR="00A77B3E" w:rsidRDefault="00A77B3E">
            <w:pPr>
              <w:spacing w:before="100"/>
              <w:rPr>
                <w:color w:val="000000"/>
                <w:sz w:val="20"/>
              </w:rPr>
            </w:pPr>
          </w:p>
          <w:p w14:paraId="42560679" w14:textId="77777777" w:rsidR="00A77B3E" w:rsidRDefault="00000000">
            <w:pPr>
              <w:spacing w:before="100"/>
              <w:rPr>
                <w:color w:val="000000"/>
                <w:sz w:val="20"/>
              </w:rPr>
            </w:pPr>
            <w:r>
              <w:rPr>
                <w:color w:val="000000"/>
                <w:sz w:val="20"/>
              </w:rPr>
              <w:t xml:space="preserve">The work of the Southern Regional Assembly in defining and implementing a Smart Region approach (through the Interreg Europe COHES3ION project) will inform how our regions can </w:t>
            </w:r>
            <w:proofErr w:type="spellStart"/>
            <w:r>
              <w:rPr>
                <w:color w:val="000000"/>
                <w:sz w:val="20"/>
              </w:rPr>
              <w:t>analyse</w:t>
            </w:r>
            <w:proofErr w:type="spellEnd"/>
            <w:r>
              <w:rPr>
                <w:color w:val="000000"/>
                <w:sz w:val="20"/>
              </w:rPr>
              <w:t xml:space="preserve"> and overcome challenges to harness advancements in technological innovation and </w:t>
            </w:r>
            <w:proofErr w:type="spellStart"/>
            <w:r>
              <w:rPr>
                <w:color w:val="000000"/>
                <w:sz w:val="20"/>
              </w:rPr>
              <w:t>digitalisation</w:t>
            </w:r>
            <w:proofErr w:type="spellEnd"/>
            <w:r>
              <w:rPr>
                <w:color w:val="000000"/>
                <w:sz w:val="20"/>
              </w:rPr>
              <w:t xml:space="preserve"> to effectively deliver on regional and national priority goals.</w:t>
            </w:r>
          </w:p>
          <w:p w14:paraId="79431676" w14:textId="77777777" w:rsidR="00A77B3E" w:rsidRDefault="00A77B3E">
            <w:pPr>
              <w:spacing w:before="100"/>
              <w:rPr>
                <w:color w:val="000000"/>
                <w:sz w:val="20"/>
              </w:rPr>
            </w:pPr>
          </w:p>
        </w:tc>
      </w:tr>
      <w:tr w:rsidR="00B82D50" w14:paraId="637E727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A94242"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5F9845"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61750B"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D40901"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16A3551" w14:textId="77777777" w:rsidR="00A77B3E" w:rsidRDefault="00000000">
            <w:pPr>
              <w:spacing w:before="100"/>
              <w:rPr>
                <w:color w:val="000000"/>
                <w:sz w:val="20"/>
              </w:rPr>
            </w:pPr>
            <w:r>
              <w:rPr>
                <w:color w:val="000000"/>
                <w:sz w:val="20"/>
              </w:rPr>
              <w:t xml:space="preserve">2. Existence of competent regional or national institution or body, responsible for the </w:t>
            </w:r>
            <w:r>
              <w:rPr>
                <w:color w:val="000000"/>
                <w:sz w:val="20"/>
              </w:rPr>
              <w:lastRenderedPageBreak/>
              <w:t xml:space="preserve">management of the smart </w:t>
            </w:r>
            <w:proofErr w:type="spellStart"/>
            <w:r>
              <w:rPr>
                <w:color w:val="000000"/>
                <w:sz w:val="20"/>
              </w:rPr>
              <w:t>specialisation</w:t>
            </w:r>
            <w:proofErr w:type="spellEnd"/>
            <w:r>
              <w:rPr>
                <w:color w:val="000000"/>
                <w:sz w:val="20"/>
              </w:rPr>
              <w:t xml:space="preserve"> strategy.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8C48FA" w14:textId="77777777" w:rsidR="00A77B3E" w:rsidRDefault="00000000">
            <w:pPr>
              <w:spacing w:before="100"/>
              <w:jc w:val="center"/>
              <w:rPr>
                <w:color w:val="000000"/>
                <w:sz w:val="20"/>
              </w:rPr>
            </w:pPr>
            <w:r>
              <w:rPr>
                <w:color w:val="000000"/>
                <w:sz w:val="20"/>
              </w:rPr>
              <w:lastRenderedPageBreak/>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AD895E3" w14:textId="77777777" w:rsidR="00A77B3E" w:rsidRDefault="00000000">
            <w:pPr>
              <w:spacing w:before="100"/>
              <w:rPr>
                <w:color w:val="000000"/>
                <w:sz w:val="20"/>
              </w:rPr>
            </w:pPr>
            <w:r>
              <w:rPr>
                <w:color w:val="000000"/>
                <w:sz w:val="20"/>
              </w:rPr>
              <w:t xml:space="preserve">Chapter 10 of the National Smart </w:t>
            </w:r>
            <w:proofErr w:type="spellStart"/>
            <w:r>
              <w:rPr>
                <w:color w:val="000000"/>
                <w:sz w:val="20"/>
              </w:rPr>
              <w:t>Specialisation</w:t>
            </w:r>
            <w:proofErr w:type="spellEnd"/>
            <w:r>
              <w:rPr>
                <w:color w:val="000000"/>
                <w:sz w:val="20"/>
              </w:rPr>
              <w:t xml:space="preserve"> Strategy for Research and Innovation 2021-2027 National Smart </w:t>
            </w:r>
            <w:proofErr w:type="spellStart"/>
            <w:r>
              <w:rPr>
                <w:color w:val="000000"/>
                <w:sz w:val="20"/>
              </w:rPr>
              <w:t>Specialisation</w:t>
            </w:r>
            <w:proofErr w:type="spellEnd"/>
            <w:r>
              <w:rPr>
                <w:color w:val="000000"/>
                <w:sz w:val="20"/>
              </w:rPr>
              <w:t xml:space="preserve"> Strategy for Research and </w:t>
            </w:r>
            <w:r>
              <w:rPr>
                <w:color w:val="000000"/>
                <w:sz w:val="20"/>
              </w:rPr>
              <w:lastRenderedPageBreak/>
              <w:t>Innovation 2022-2027 contains details of bodies which will be responsible for the monitoring and management of S3.</w:t>
            </w:r>
          </w:p>
          <w:p w14:paraId="31FACAB5" w14:textId="77777777" w:rsidR="00A77B3E" w:rsidRDefault="00A77B3E">
            <w:pPr>
              <w:spacing w:before="100"/>
              <w:rPr>
                <w:color w:val="000000"/>
                <w:sz w:val="20"/>
              </w:rPr>
            </w:pPr>
          </w:p>
          <w:p w14:paraId="7D3F3FCB" w14:textId="77777777" w:rsidR="00A77B3E" w:rsidRDefault="00000000">
            <w:pPr>
              <w:spacing w:before="100"/>
              <w:rPr>
                <w:color w:val="000000"/>
                <w:sz w:val="20"/>
              </w:rPr>
            </w:pPr>
            <w:r>
              <w:rPr>
                <w:color w:val="000000"/>
                <w:sz w:val="20"/>
              </w:rPr>
              <w:t>Research Priority Areas 2018-2023</w:t>
            </w:r>
          </w:p>
          <w:p w14:paraId="7E7F37DE" w14:textId="77777777" w:rsidR="00A77B3E" w:rsidRDefault="00A77B3E">
            <w:pPr>
              <w:spacing w:before="100"/>
              <w:rPr>
                <w:color w:val="000000"/>
                <w:sz w:val="20"/>
              </w:rPr>
            </w:pPr>
          </w:p>
          <w:p w14:paraId="718F39DB" w14:textId="77777777" w:rsidR="00A77B3E" w:rsidRDefault="00000000">
            <w:pPr>
              <w:spacing w:before="100"/>
              <w:rPr>
                <w:color w:val="000000"/>
                <w:sz w:val="20"/>
              </w:rPr>
            </w:pPr>
            <w:r>
              <w:rPr>
                <w:color w:val="000000"/>
                <w:sz w:val="20"/>
              </w:rPr>
              <w:t>New Regional Enterprise Plans to 2024</w:t>
            </w:r>
          </w:p>
          <w:p w14:paraId="1EAB6A4A" w14:textId="77777777" w:rsidR="00A77B3E" w:rsidRDefault="00A77B3E">
            <w:pPr>
              <w:spacing w:before="100"/>
              <w:rPr>
                <w:color w:val="000000"/>
                <w:sz w:val="20"/>
              </w:rPr>
            </w:pPr>
          </w:p>
          <w:p w14:paraId="311969BB" w14:textId="77777777" w:rsidR="00A77B3E" w:rsidRDefault="00000000">
            <w:pPr>
              <w:spacing w:before="100"/>
              <w:rPr>
                <w:color w:val="000000"/>
                <w:sz w:val="20"/>
              </w:rPr>
            </w:pPr>
            <w:r>
              <w:rPr>
                <w:color w:val="000000"/>
                <w:sz w:val="20"/>
              </w:rPr>
              <w:t>Impact 2030: Ireland’s Research and Innovation Strategy</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6FA0466" w14:textId="77777777" w:rsidR="00A77B3E" w:rsidRDefault="00000000">
            <w:pPr>
              <w:spacing w:before="100"/>
              <w:rPr>
                <w:color w:val="000000"/>
                <w:sz w:val="20"/>
              </w:rPr>
            </w:pPr>
            <w:r>
              <w:rPr>
                <w:color w:val="000000"/>
                <w:sz w:val="20"/>
              </w:rPr>
              <w:lastRenderedPageBreak/>
              <w:t xml:space="preserve">After governmental approval of S3, the current Steering Group, consisting of representatives from DETE, DPER and DFHERIS, as well as the three Regional </w:t>
            </w:r>
            <w:r>
              <w:rPr>
                <w:color w:val="000000"/>
                <w:sz w:val="20"/>
              </w:rPr>
              <w:lastRenderedPageBreak/>
              <w:t>Assemblies, will become the S3 national Implementation Group (IG) before mid-October 2022. It will oversee the delivery of S3 national and regional strategic priorities by bringing together relevant policy leads through the quadruple helix model, as well as related agencies and bodies directly involved in implementation as required.</w:t>
            </w:r>
          </w:p>
          <w:p w14:paraId="30879240" w14:textId="77777777" w:rsidR="00A77B3E" w:rsidRDefault="00000000">
            <w:pPr>
              <w:spacing w:before="100"/>
              <w:rPr>
                <w:color w:val="000000"/>
                <w:sz w:val="20"/>
              </w:rPr>
            </w:pPr>
            <w:r>
              <w:rPr>
                <w:color w:val="000000"/>
                <w:sz w:val="20"/>
              </w:rPr>
              <w:t xml:space="preserve">At NUTS3 level, the REPs committee structures will ensure regular EDP feedback to the IG by bringing evidence and insights from stakeholders from across the regions. At NUTS2 level, the Regional Assemblies will report ongoing S3 alignment with ERDF spending and broader results. Based on these updates, the IG will focus on </w:t>
            </w:r>
            <w:proofErr w:type="spellStart"/>
            <w:r>
              <w:rPr>
                <w:color w:val="000000"/>
                <w:sz w:val="20"/>
              </w:rPr>
              <w:t>prioritisation</w:t>
            </w:r>
            <w:proofErr w:type="spellEnd"/>
            <w:r>
              <w:rPr>
                <w:color w:val="000000"/>
                <w:sz w:val="20"/>
              </w:rPr>
              <w:t xml:space="preserve"> and action planning to respond to emerging regional consensus on cross-sectoral economic and innovation developments, ensuring continued alignment between national enterprise and innovation policies and S3. In turn, it will prepare an annual report outlining how S3 is progressing in both national and regional contexts.</w:t>
            </w:r>
          </w:p>
          <w:p w14:paraId="5C0268E1" w14:textId="77777777" w:rsidR="00A77B3E" w:rsidRDefault="00A77B3E">
            <w:pPr>
              <w:spacing w:before="100"/>
              <w:rPr>
                <w:color w:val="000000"/>
                <w:sz w:val="20"/>
              </w:rPr>
            </w:pPr>
          </w:p>
        </w:tc>
      </w:tr>
      <w:tr w:rsidR="00B82D50" w14:paraId="1F22E5F0"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F9A981"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E879C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949ED0"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9D4B09"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5457F6" w14:textId="77777777" w:rsidR="00A77B3E" w:rsidRDefault="00000000">
            <w:pPr>
              <w:spacing w:before="100"/>
              <w:rPr>
                <w:color w:val="000000"/>
                <w:sz w:val="20"/>
              </w:rPr>
            </w:pPr>
            <w:r>
              <w:rPr>
                <w:color w:val="000000"/>
                <w:sz w:val="20"/>
              </w:rPr>
              <w:t>3. Monitoring and evaluation tools to measure performance towards the objectives of the strategy.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4BF3AFB"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467504" w14:textId="77777777" w:rsidR="00A77B3E" w:rsidRDefault="00000000">
            <w:pPr>
              <w:spacing w:before="100"/>
              <w:rPr>
                <w:color w:val="000000"/>
                <w:sz w:val="20"/>
              </w:rPr>
            </w:pPr>
            <w:r>
              <w:rPr>
                <w:color w:val="000000"/>
                <w:sz w:val="20"/>
              </w:rPr>
              <w:t xml:space="preserve">Chapter 10 of the National Smart </w:t>
            </w:r>
            <w:proofErr w:type="spellStart"/>
            <w:r>
              <w:rPr>
                <w:color w:val="000000"/>
                <w:sz w:val="20"/>
              </w:rPr>
              <w:t>Specialisation</w:t>
            </w:r>
            <w:proofErr w:type="spellEnd"/>
            <w:r>
              <w:rPr>
                <w:color w:val="000000"/>
                <w:sz w:val="20"/>
              </w:rPr>
              <w:t xml:space="preserve"> Strategy for Research and Innovation 2022-2027 contains details of bodies which will be responsible for the monitoring and evaluation of S3.</w:t>
            </w:r>
          </w:p>
          <w:p w14:paraId="4503FF62" w14:textId="77777777" w:rsidR="00A77B3E" w:rsidRDefault="00A77B3E">
            <w:pPr>
              <w:spacing w:before="100"/>
              <w:rPr>
                <w:color w:val="000000"/>
                <w:sz w:val="20"/>
              </w:rPr>
            </w:pPr>
          </w:p>
          <w:p w14:paraId="45691FC7" w14:textId="77777777" w:rsidR="00A77B3E" w:rsidRDefault="00000000">
            <w:pPr>
              <w:spacing w:before="100"/>
              <w:rPr>
                <w:color w:val="000000"/>
                <w:sz w:val="20"/>
              </w:rPr>
            </w:pPr>
            <w:r>
              <w:rPr>
                <w:color w:val="000000"/>
                <w:sz w:val="20"/>
              </w:rPr>
              <w:t xml:space="preserve">Relevant indicators will be sourced from the European Commission’s European and Regional Innovation Scoreboards; </w:t>
            </w:r>
            <w:r>
              <w:rPr>
                <w:color w:val="000000"/>
                <w:sz w:val="20"/>
              </w:rPr>
              <w:lastRenderedPageBreak/>
              <w:t>CSO’s BERD and Innovation Surveys, KTI’s Annual Knowledge Transfer Survey.</w:t>
            </w:r>
          </w:p>
          <w:p w14:paraId="6CF4F294" w14:textId="77777777" w:rsidR="00A77B3E" w:rsidRDefault="00A77B3E">
            <w:pPr>
              <w:spacing w:before="100"/>
              <w:rPr>
                <w:color w:val="000000"/>
                <w:sz w:val="20"/>
              </w:rPr>
            </w:pPr>
          </w:p>
          <w:p w14:paraId="0C0AF714" w14:textId="77777777" w:rsidR="00A77B3E" w:rsidRDefault="00000000">
            <w:pPr>
              <w:spacing w:before="100"/>
              <w:rPr>
                <w:color w:val="000000"/>
                <w:sz w:val="20"/>
              </w:rPr>
            </w:pPr>
            <w:r>
              <w:rPr>
                <w:color w:val="000000"/>
                <w:sz w:val="20"/>
              </w:rPr>
              <w:t>Research Priority Areas 2018-2023</w:t>
            </w:r>
          </w:p>
          <w:p w14:paraId="1BB56F8B" w14:textId="77777777" w:rsidR="00A77B3E" w:rsidRDefault="00A77B3E">
            <w:pPr>
              <w:spacing w:before="100"/>
              <w:rPr>
                <w:color w:val="000000"/>
                <w:sz w:val="20"/>
              </w:rPr>
            </w:pPr>
          </w:p>
          <w:p w14:paraId="1A84E098" w14:textId="77777777" w:rsidR="00A77B3E" w:rsidRDefault="00000000">
            <w:pPr>
              <w:spacing w:before="100"/>
              <w:rPr>
                <w:color w:val="000000"/>
                <w:sz w:val="20"/>
              </w:rPr>
            </w:pPr>
            <w:r>
              <w:rPr>
                <w:color w:val="000000"/>
                <w:sz w:val="20"/>
              </w:rPr>
              <w:t>New Regional Enterprise Plans to 2024</w:t>
            </w:r>
          </w:p>
          <w:p w14:paraId="76A8EA6D" w14:textId="77777777" w:rsidR="00A77B3E" w:rsidRDefault="00A77B3E">
            <w:pPr>
              <w:spacing w:before="100"/>
              <w:rPr>
                <w:color w:val="000000"/>
                <w:sz w:val="20"/>
              </w:rPr>
            </w:pPr>
          </w:p>
          <w:p w14:paraId="4936552D" w14:textId="77777777" w:rsidR="00A77B3E" w:rsidRDefault="00000000">
            <w:pPr>
              <w:spacing w:before="100"/>
              <w:rPr>
                <w:color w:val="000000"/>
                <w:sz w:val="20"/>
              </w:rPr>
            </w:pPr>
            <w:r>
              <w:rPr>
                <w:color w:val="000000"/>
                <w:sz w:val="20"/>
              </w:rPr>
              <w:t>Impact 2030: Ireland’s Research and Innovation Strategy</w:t>
            </w:r>
          </w:p>
          <w:p w14:paraId="446E89AC"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A45BA8" w14:textId="77777777" w:rsidR="00A77B3E" w:rsidRDefault="00000000">
            <w:pPr>
              <w:spacing w:before="100"/>
              <w:rPr>
                <w:color w:val="000000"/>
                <w:sz w:val="20"/>
              </w:rPr>
            </w:pPr>
            <w:r>
              <w:rPr>
                <w:color w:val="000000"/>
                <w:sz w:val="20"/>
              </w:rPr>
              <w:lastRenderedPageBreak/>
              <w:t xml:space="preserve">At NUTS3 level, S3 will be monitored through biannual progress reports from the 9 REPs, along with a synthesis provided by DETE’s REPs unit. The mid-cycle review of the REPs will provide further monitoring feedback from quadruple helix agents, ensuring the translation of S3 into regional and local impacts. On completion of their </w:t>
            </w:r>
            <w:r>
              <w:rPr>
                <w:color w:val="000000"/>
                <w:sz w:val="20"/>
              </w:rPr>
              <w:lastRenderedPageBreak/>
              <w:t>current cycle, the REPs will be subject to an independent ex-post evaluation overseen by DETE.</w:t>
            </w:r>
          </w:p>
          <w:p w14:paraId="3F5D2382" w14:textId="77777777" w:rsidR="00A77B3E" w:rsidRDefault="00000000">
            <w:pPr>
              <w:spacing w:before="100"/>
              <w:rPr>
                <w:color w:val="000000"/>
                <w:sz w:val="20"/>
              </w:rPr>
            </w:pPr>
            <w:r>
              <w:rPr>
                <w:color w:val="000000"/>
                <w:sz w:val="20"/>
              </w:rPr>
              <w:t>At NUTS2 level, the RAs will engage directly with the 9 REPs stakeholder groups to monitor overall progress on S3 implementation, providing further analysis on selected regional priority areas, along with reporting ongoing S3 alignment with ERDF. The mid-term review of ERDF allows for S3 goals to be judged against this major implementation mechanism. Indicators from the EC’s RIS and KTI annual surveys, such as SMEs introducing product innovation, will be applied to assessments.</w:t>
            </w:r>
          </w:p>
          <w:p w14:paraId="73280625" w14:textId="77777777" w:rsidR="00A77B3E" w:rsidRDefault="00000000">
            <w:pPr>
              <w:spacing w:before="100"/>
              <w:rPr>
                <w:color w:val="000000"/>
                <w:sz w:val="20"/>
              </w:rPr>
            </w:pPr>
            <w:r>
              <w:rPr>
                <w:color w:val="000000"/>
                <w:sz w:val="20"/>
              </w:rPr>
              <w:t xml:space="preserve">At NUTS1 level, the IG will compile these monitoring results in its biannual report outlining how S3 is progressing in national and regional contexts. The IG will also </w:t>
            </w:r>
            <w:proofErr w:type="spellStart"/>
            <w:r>
              <w:rPr>
                <w:color w:val="000000"/>
                <w:sz w:val="20"/>
              </w:rPr>
              <w:t>utilise</w:t>
            </w:r>
            <w:proofErr w:type="spellEnd"/>
            <w:r>
              <w:rPr>
                <w:color w:val="000000"/>
                <w:sz w:val="20"/>
              </w:rPr>
              <w:t xml:space="preserve"> monitoring tools such as AIRO.</w:t>
            </w:r>
          </w:p>
          <w:p w14:paraId="6180A410" w14:textId="77777777" w:rsidR="00A77B3E" w:rsidRDefault="00A77B3E">
            <w:pPr>
              <w:spacing w:before="100"/>
              <w:rPr>
                <w:color w:val="000000"/>
                <w:sz w:val="20"/>
              </w:rPr>
            </w:pPr>
          </w:p>
        </w:tc>
      </w:tr>
      <w:tr w:rsidR="00B82D50" w14:paraId="5C8F7D2D"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DBDFC9"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624F351"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2974757"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989112"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8024FC9" w14:textId="77777777" w:rsidR="00A77B3E" w:rsidRDefault="00000000">
            <w:pPr>
              <w:spacing w:before="100"/>
              <w:rPr>
                <w:color w:val="000000"/>
                <w:sz w:val="20"/>
              </w:rPr>
            </w:pPr>
            <w:r>
              <w:rPr>
                <w:color w:val="000000"/>
                <w:sz w:val="20"/>
              </w:rPr>
              <w:t>4. Functioning of stakeholder co-operation (“entrepreneurial discovery process”).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BBB893E"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8CE458" w14:textId="77777777" w:rsidR="00A77B3E" w:rsidRDefault="00000000">
            <w:pPr>
              <w:spacing w:before="100"/>
              <w:rPr>
                <w:color w:val="000000"/>
                <w:sz w:val="20"/>
              </w:rPr>
            </w:pPr>
            <w:r>
              <w:rPr>
                <w:color w:val="000000"/>
                <w:sz w:val="20"/>
              </w:rPr>
              <w:t xml:space="preserve">Chapters 2 to 8, inclusive, of the National Smart </w:t>
            </w:r>
            <w:proofErr w:type="spellStart"/>
            <w:r>
              <w:rPr>
                <w:color w:val="000000"/>
                <w:sz w:val="20"/>
              </w:rPr>
              <w:t>Specialisation</w:t>
            </w:r>
            <w:proofErr w:type="spellEnd"/>
            <w:r>
              <w:rPr>
                <w:color w:val="000000"/>
                <w:sz w:val="20"/>
              </w:rPr>
              <w:t xml:space="preserve"> Strategy for Research and Innovation 2022-2027 outline stakeholder co-operation and the entrepreneurial discovery process in S3.</w:t>
            </w:r>
          </w:p>
          <w:p w14:paraId="6C20CF1F" w14:textId="77777777" w:rsidR="00A77B3E" w:rsidRDefault="00A77B3E">
            <w:pPr>
              <w:spacing w:before="100"/>
              <w:rPr>
                <w:color w:val="000000"/>
                <w:sz w:val="20"/>
              </w:rPr>
            </w:pPr>
          </w:p>
          <w:p w14:paraId="41B6B938" w14:textId="77777777" w:rsidR="00A77B3E" w:rsidRDefault="00000000">
            <w:pPr>
              <w:spacing w:before="100"/>
              <w:rPr>
                <w:color w:val="000000"/>
                <w:sz w:val="20"/>
              </w:rPr>
            </w:pPr>
            <w:r>
              <w:rPr>
                <w:color w:val="000000"/>
                <w:sz w:val="20"/>
              </w:rPr>
              <w:t>New Regional Enterprise Plans to 2024</w:t>
            </w:r>
          </w:p>
          <w:p w14:paraId="19EC74FC" w14:textId="77777777" w:rsidR="00A77B3E" w:rsidRDefault="00A77B3E">
            <w:pPr>
              <w:spacing w:before="100"/>
              <w:rPr>
                <w:color w:val="000000"/>
                <w:sz w:val="20"/>
              </w:rPr>
            </w:pPr>
          </w:p>
          <w:p w14:paraId="1F50A0A5" w14:textId="77777777" w:rsidR="00A77B3E" w:rsidRDefault="00000000">
            <w:pPr>
              <w:spacing w:before="100"/>
              <w:rPr>
                <w:color w:val="000000"/>
                <w:sz w:val="20"/>
              </w:rPr>
            </w:pPr>
            <w:r>
              <w:rPr>
                <w:color w:val="000000"/>
                <w:sz w:val="20"/>
              </w:rPr>
              <w:t xml:space="preserve">Regional Enterprise Plans (NUTS 3 level) supported by regional stakeholder </w:t>
            </w:r>
            <w:r>
              <w:rPr>
                <w:color w:val="000000"/>
                <w:sz w:val="20"/>
              </w:rPr>
              <w:lastRenderedPageBreak/>
              <w:t>committees and the Regional Enterprise Development Fund</w:t>
            </w:r>
          </w:p>
          <w:p w14:paraId="732F9D26" w14:textId="77777777" w:rsidR="00A77B3E" w:rsidRDefault="00A77B3E">
            <w:pPr>
              <w:spacing w:before="100"/>
              <w:rPr>
                <w:color w:val="000000"/>
                <w:sz w:val="20"/>
              </w:rPr>
            </w:pPr>
          </w:p>
          <w:p w14:paraId="04ACB863" w14:textId="77777777" w:rsidR="00A77B3E" w:rsidRDefault="00000000">
            <w:pPr>
              <w:spacing w:before="100"/>
              <w:rPr>
                <w:color w:val="000000"/>
                <w:sz w:val="20"/>
              </w:rPr>
            </w:pPr>
            <w:r>
              <w:rPr>
                <w:color w:val="000000"/>
                <w:sz w:val="20"/>
              </w:rPr>
              <w:t>Eastern and Midland Region RSES</w:t>
            </w:r>
          </w:p>
          <w:p w14:paraId="712A71EC" w14:textId="77777777" w:rsidR="00A77B3E" w:rsidRDefault="00A77B3E">
            <w:pPr>
              <w:spacing w:before="100"/>
              <w:rPr>
                <w:color w:val="000000"/>
                <w:sz w:val="20"/>
              </w:rPr>
            </w:pPr>
          </w:p>
          <w:p w14:paraId="04616146" w14:textId="77777777" w:rsidR="00A77B3E" w:rsidRDefault="00000000">
            <w:pPr>
              <w:spacing w:before="100"/>
              <w:rPr>
                <w:color w:val="000000"/>
                <w:sz w:val="20"/>
              </w:rPr>
            </w:pPr>
            <w:r>
              <w:rPr>
                <w:color w:val="000000"/>
                <w:sz w:val="20"/>
              </w:rPr>
              <w:t>Northern and Western Region RSES</w:t>
            </w:r>
          </w:p>
          <w:p w14:paraId="26DD7BB2" w14:textId="77777777" w:rsidR="00A77B3E" w:rsidRDefault="00A77B3E">
            <w:pPr>
              <w:spacing w:before="100"/>
              <w:rPr>
                <w:color w:val="000000"/>
                <w:sz w:val="20"/>
              </w:rPr>
            </w:pPr>
          </w:p>
          <w:p w14:paraId="19DF1729" w14:textId="77777777" w:rsidR="00A77B3E" w:rsidRDefault="00000000">
            <w:pPr>
              <w:spacing w:before="100"/>
              <w:rPr>
                <w:color w:val="000000"/>
                <w:sz w:val="20"/>
              </w:rPr>
            </w:pPr>
            <w:r>
              <w:rPr>
                <w:color w:val="000000"/>
                <w:sz w:val="20"/>
              </w:rPr>
              <w:t>Southern Region RSES</w:t>
            </w:r>
          </w:p>
          <w:p w14:paraId="1E883BEA"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B6F4670" w14:textId="77777777" w:rsidR="00A77B3E" w:rsidRDefault="00000000">
            <w:pPr>
              <w:spacing w:before="100"/>
              <w:rPr>
                <w:color w:val="000000"/>
                <w:sz w:val="20"/>
              </w:rPr>
            </w:pPr>
            <w:r>
              <w:rPr>
                <w:color w:val="000000"/>
                <w:sz w:val="20"/>
              </w:rPr>
              <w:lastRenderedPageBreak/>
              <w:t>The two-stage consultation EDP used for S3 was overseen by a national Steering Group of Government stakeholders. It provided governance of S3 during strategy creation, ensuring all criteria were met and identifying monitoring structures. Stakeholder consultation took place in the 9 REPs areas (NUTS 3 level) which saw engagement with innovation actors at regional level, gaining insights into their priorities and thus bridging any gap between national and regional policies.</w:t>
            </w:r>
          </w:p>
          <w:p w14:paraId="26EE2D00" w14:textId="77777777" w:rsidR="00A77B3E" w:rsidRDefault="00000000">
            <w:pPr>
              <w:spacing w:before="100"/>
              <w:rPr>
                <w:color w:val="000000"/>
                <w:sz w:val="20"/>
              </w:rPr>
            </w:pPr>
            <w:r>
              <w:rPr>
                <w:color w:val="000000"/>
                <w:sz w:val="20"/>
              </w:rPr>
              <w:lastRenderedPageBreak/>
              <w:t>Re-employing this quadruple helix model, S3 will continue as a theme for the NUTS3 REPs steering committees which comprise local authorities, enterprise agencies, regional HEIs, skills fora and the private sector. The REPs mid-cycle reviews will be informed and updated by this bottom-up stakeholder-led process. A renewed cycle of REPs from 2024 will ensure continuous EDP until 2027.</w:t>
            </w:r>
          </w:p>
          <w:p w14:paraId="1A412BA6" w14:textId="77777777" w:rsidR="00A77B3E" w:rsidRDefault="00000000">
            <w:pPr>
              <w:spacing w:before="100"/>
              <w:rPr>
                <w:color w:val="000000"/>
                <w:sz w:val="20"/>
              </w:rPr>
            </w:pPr>
            <w:r>
              <w:rPr>
                <w:color w:val="000000"/>
                <w:sz w:val="20"/>
              </w:rPr>
              <w:t>At NUTS2 level, S3 will be part of the statutory RSESs, chaired by the Regional Assemblies, which will engage directly with the 9 REPs steering committees to gain stakeholder participation in the identification of cross-regional priority areas, as well as providing their own analysis on regional insights.</w:t>
            </w:r>
          </w:p>
          <w:p w14:paraId="51344031" w14:textId="77777777" w:rsidR="00A77B3E" w:rsidRDefault="00A77B3E">
            <w:pPr>
              <w:spacing w:before="100"/>
              <w:rPr>
                <w:color w:val="000000"/>
                <w:sz w:val="20"/>
              </w:rPr>
            </w:pPr>
          </w:p>
        </w:tc>
      </w:tr>
      <w:tr w:rsidR="00B82D50" w14:paraId="2BFAF770"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C21E56"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128DCD"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D6D308"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6AA06A"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98D96C" w14:textId="77777777" w:rsidR="00A77B3E" w:rsidRDefault="00000000">
            <w:pPr>
              <w:spacing w:before="100"/>
              <w:rPr>
                <w:color w:val="000000"/>
                <w:sz w:val="20"/>
              </w:rPr>
            </w:pPr>
            <w:r>
              <w:rPr>
                <w:color w:val="000000"/>
                <w:sz w:val="20"/>
              </w:rPr>
              <w:t>5. Actions necessary to improve national or regional research and innovation systems, where relevant.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6D9F90D"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342204" w14:textId="77777777" w:rsidR="00A77B3E" w:rsidRDefault="00000000">
            <w:pPr>
              <w:spacing w:before="100"/>
              <w:rPr>
                <w:color w:val="000000"/>
                <w:sz w:val="20"/>
              </w:rPr>
            </w:pPr>
            <w:r>
              <w:rPr>
                <w:color w:val="000000"/>
                <w:sz w:val="20"/>
              </w:rPr>
              <w:t xml:space="preserve">Chapters 2 to 8, inclusive, of the National Smart </w:t>
            </w:r>
            <w:proofErr w:type="spellStart"/>
            <w:r>
              <w:rPr>
                <w:color w:val="000000"/>
                <w:sz w:val="20"/>
              </w:rPr>
              <w:t>Specialisation</w:t>
            </w:r>
            <w:proofErr w:type="spellEnd"/>
            <w:r>
              <w:rPr>
                <w:color w:val="000000"/>
                <w:sz w:val="20"/>
              </w:rPr>
              <w:t xml:space="preserve"> Strategy for Research and Innovation 2022-2027 outline actions necessary to enhance national and regional research and innovation systems.</w:t>
            </w:r>
          </w:p>
          <w:p w14:paraId="3209D96F" w14:textId="77777777" w:rsidR="00A77B3E" w:rsidRDefault="00A77B3E">
            <w:pPr>
              <w:spacing w:before="100"/>
              <w:rPr>
                <w:color w:val="000000"/>
                <w:sz w:val="20"/>
              </w:rPr>
            </w:pPr>
          </w:p>
          <w:p w14:paraId="3EE7330B" w14:textId="77777777" w:rsidR="00A77B3E" w:rsidRDefault="00000000">
            <w:pPr>
              <w:spacing w:before="100"/>
              <w:rPr>
                <w:color w:val="000000"/>
                <w:sz w:val="20"/>
              </w:rPr>
            </w:pPr>
            <w:r>
              <w:rPr>
                <w:color w:val="000000"/>
                <w:sz w:val="20"/>
              </w:rPr>
              <w:t>New Regional Enterprise Plans to 2024</w:t>
            </w:r>
          </w:p>
          <w:p w14:paraId="469DFDEB" w14:textId="77777777" w:rsidR="00A77B3E" w:rsidRDefault="00A77B3E">
            <w:pPr>
              <w:spacing w:before="100"/>
              <w:rPr>
                <w:color w:val="000000"/>
                <w:sz w:val="20"/>
              </w:rPr>
            </w:pPr>
          </w:p>
          <w:p w14:paraId="362300CE" w14:textId="77777777" w:rsidR="00A77B3E" w:rsidRDefault="00000000">
            <w:pPr>
              <w:spacing w:before="100"/>
              <w:rPr>
                <w:color w:val="000000"/>
                <w:sz w:val="20"/>
              </w:rPr>
            </w:pPr>
            <w:r>
              <w:rPr>
                <w:color w:val="000000"/>
                <w:sz w:val="20"/>
              </w:rPr>
              <w:t>Regional Enterprise Plans (NUTS 3 level) supported by regional stakeholder committees and the Regional Enterprise Development Fund</w:t>
            </w:r>
          </w:p>
          <w:p w14:paraId="77E2AFE8" w14:textId="77777777" w:rsidR="00A77B3E" w:rsidRDefault="00A77B3E">
            <w:pPr>
              <w:spacing w:before="100"/>
              <w:rPr>
                <w:color w:val="000000"/>
                <w:sz w:val="20"/>
              </w:rPr>
            </w:pPr>
          </w:p>
          <w:p w14:paraId="4E8345A6" w14:textId="77777777" w:rsidR="00A77B3E" w:rsidRDefault="00000000">
            <w:pPr>
              <w:spacing w:before="100"/>
              <w:rPr>
                <w:color w:val="000000"/>
                <w:sz w:val="20"/>
              </w:rPr>
            </w:pPr>
            <w:r>
              <w:rPr>
                <w:color w:val="000000"/>
                <w:sz w:val="20"/>
              </w:rPr>
              <w:lastRenderedPageBreak/>
              <w:t>Eastern and Midland Region RSES</w:t>
            </w:r>
          </w:p>
          <w:p w14:paraId="1D13E093" w14:textId="77777777" w:rsidR="00A77B3E" w:rsidRDefault="00A77B3E">
            <w:pPr>
              <w:spacing w:before="100"/>
              <w:rPr>
                <w:color w:val="000000"/>
                <w:sz w:val="20"/>
              </w:rPr>
            </w:pPr>
          </w:p>
          <w:p w14:paraId="1E9B3721" w14:textId="77777777" w:rsidR="00A77B3E" w:rsidRDefault="00000000">
            <w:pPr>
              <w:spacing w:before="100"/>
              <w:rPr>
                <w:color w:val="000000"/>
                <w:sz w:val="20"/>
              </w:rPr>
            </w:pPr>
            <w:r>
              <w:rPr>
                <w:color w:val="000000"/>
                <w:sz w:val="20"/>
              </w:rPr>
              <w:t>Northern and Western Region RSES</w:t>
            </w:r>
          </w:p>
          <w:p w14:paraId="439EAAA8" w14:textId="77777777" w:rsidR="00A77B3E" w:rsidRDefault="00A77B3E">
            <w:pPr>
              <w:spacing w:before="100"/>
              <w:rPr>
                <w:color w:val="000000"/>
                <w:sz w:val="20"/>
              </w:rPr>
            </w:pPr>
          </w:p>
          <w:p w14:paraId="3905B551" w14:textId="77777777" w:rsidR="00A77B3E" w:rsidRDefault="00000000">
            <w:pPr>
              <w:spacing w:before="100"/>
              <w:rPr>
                <w:color w:val="000000"/>
                <w:sz w:val="20"/>
              </w:rPr>
            </w:pPr>
            <w:r>
              <w:rPr>
                <w:color w:val="000000"/>
                <w:sz w:val="20"/>
              </w:rPr>
              <w:t>Southern Region RSES</w:t>
            </w:r>
          </w:p>
          <w:p w14:paraId="2B09A670" w14:textId="77777777" w:rsidR="00A77B3E" w:rsidRDefault="00A77B3E">
            <w:pPr>
              <w:spacing w:before="100"/>
              <w:rPr>
                <w:color w:val="000000"/>
                <w:sz w:val="20"/>
              </w:rPr>
            </w:pPr>
          </w:p>
          <w:p w14:paraId="2C42F181" w14:textId="77777777" w:rsidR="00A77B3E" w:rsidRDefault="00000000">
            <w:pPr>
              <w:spacing w:before="100"/>
              <w:rPr>
                <w:color w:val="000000"/>
                <w:sz w:val="20"/>
              </w:rPr>
            </w:pPr>
            <w:r>
              <w:rPr>
                <w:color w:val="000000"/>
                <w:sz w:val="20"/>
              </w:rPr>
              <w:t>Regional Approach for Development of S3 (SRA &amp; Bable, 2021)</w:t>
            </w:r>
          </w:p>
          <w:p w14:paraId="1F379B09" w14:textId="77777777" w:rsidR="00A77B3E" w:rsidRDefault="00A77B3E">
            <w:pPr>
              <w:spacing w:before="100"/>
              <w:rPr>
                <w:color w:val="000000"/>
                <w:sz w:val="20"/>
              </w:rPr>
            </w:pPr>
          </w:p>
          <w:p w14:paraId="33437273" w14:textId="77777777" w:rsidR="00A77B3E" w:rsidRDefault="00000000">
            <w:pPr>
              <w:spacing w:before="100"/>
              <w:rPr>
                <w:color w:val="000000"/>
                <w:sz w:val="20"/>
              </w:rPr>
            </w:pPr>
            <w:r>
              <w:rPr>
                <w:color w:val="000000"/>
                <w:sz w:val="20"/>
              </w:rPr>
              <w:t>New National Innovation Strategy 2022-2030 (due in 2022)</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8A78E0" w14:textId="77777777" w:rsidR="00A77B3E" w:rsidRDefault="00000000">
            <w:pPr>
              <w:spacing w:before="100"/>
              <w:rPr>
                <w:color w:val="000000"/>
                <w:sz w:val="20"/>
              </w:rPr>
            </w:pPr>
            <w:r>
              <w:rPr>
                <w:color w:val="000000"/>
                <w:sz w:val="20"/>
              </w:rPr>
              <w:lastRenderedPageBreak/>
              <w:t xml:space="preserve">Current enterprise policy promotes collaboration, clustering and linkages between HEIs and enterprises. Initiatives e.g., DTIF, Knowledge Transfer Ireland, Innovation Partnerships etc. provide for partnerships between HEIs, research and enterprise, particularly SMEs, complementing other innovation initiatives from EI and SFI. DETE is working on a new national clustering approach as part of a new national enterprise policy White Paper by end 2022. Newly established Technological Universities will build on S3 regional </w:t>
            </w:r>
            <w:r>
              <w:rPr>
                <w:color w:val="000000"/>
                <w:sz w:val="20"/>
              </w:rPr>
              <w:lastRenderedPageBreak/>
              <w:t xml:space="preserve">sectoral </w:t>
            </w:r>
            <w:proofErr w:type="spellStart"/>
            <w:r>
              <w:rPr>
                <w:color w:val="000000"/>
                <w:sz w:val="20"/>
              </w:rPr>
              <w:t>specialisations</w:t>
            </w:r>
            <w:proofErr w:type="spellEnd"/>
            <w:r>
              <w:rPr>
                <w:color w:val="000000"/>
                <w:sz w:val="20"/>
              </w:rPr>
              <w:t xml:space="preserve"> which, in turn, will be supported by ERDF. </w:t>
            </w:r>
          </w:p>
          <w:p w14:paraId="044BEDB7" w14:textId="77777777" w:rsidR="00A77B3E" w:rsidRDefault="00000000">
            <w:pPr>
              <w:spacing w:before="100"/>
              <w:rPr>
                <w:color w:val="000000"/>
                <w:sz w:val="20"/>
              </w:rPr>
            </w:pPr>
            <w:r>
              <w:rPr>
                <w:color w:val="000000"/>
                <w:sz w:val="20"/>
              </w:rPr>
              <w:t>Data shows the productivity gap between MNCs and SMEs has been increasing since 2000. Tackling this gap through S3’s emphasis on innovation diffusion, as well as bottom-up quadruple helix stakeholder engagement, is key to addressing this. Current enterprise agencies’ (EI and IDA) strategies focus on growing broader-based innovation capacity in enterprise to drive higher productivity performance. Government investment in R&amp;I now approaches €1 billion per annum and the national R&amp;I strategy, Impact 2030, will target an overall research intensity rate of 2.5% of GNI*.</w:t>
            </w:r>
          </w:p>
          <w:p w14:paraId="6FEB2BC4" w14:textId="77777777" w:rsidR="00A77B3E" w:rsidRDefault="00A77B3E">
            <w:pPr>
              <w:spacing w:before="100"/>
              <w:rPr>
                <w:color w:val="000000"/>
                <w:sz w:val="20"/>
              </w:rPr>
            </w:pPr>
          </w:p>
        </w:tc>
      </w:tr>
      <w:tr w:rsidR="00B82D50" w14:paraId="5DD24654"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5F359A1"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3C25C70"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61248F"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C43CC4"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5C1B98" w14:textId="77777777" w:rsidR="00A77B3E" w:rsidRDefault="00000000">
            <w:pPr>
              <w:spacing w:before="100"/>
              <w:rPr>
                <w:color w:val="000000"/>
                <w:sz w:val="20"/>
              </w:rPr>
            </w:pPr>
            <w:r>
              <w:rPr>
                <w:color w:val="000000"/>
                <w:sz w:val="20"/>
              </w:rPr>
              <w:t>6. Where relevant, actions to support industrial transition.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9B98BF"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3F9B0B" w14:textId="77777777" w:rsidR="00A77B3E" w:rsidRDefault="00000000">
            <w:pPr>
              <w:spacing w:before="100"/>
              <w:rPr>
                <w:color w:val="000000"/>
                <w:sz w:val="20"/>
              </w:rPr>
            </w:pPr>
            <w:r>
              <w:rPr>
                <w:color w:val="000000"/>
                <w:sz w:val="20"/>
              </w:rPr>
              <w:t xml:space="preserve">Chapters 4.2 and 4.3 of the National Smart </w:t>
            </w:r>
            <w:proofErr w:type="spellStart"/>
            <w:r>
              <w:rPr>
                <w:color w:val="000000"/>
                <w:sz w:val="20"/>
              </w:rPr>
              <w:t>Specialisation</w:t>
            </w:r>
            <w:proofErr w:type="spellEnd"/>
            <w:r>
              <w:rPr>
                <w:color w:val="000000"/>
                <w:sz w:val="20"/>
              </w:rPr>
              <w:t xml:space="preserve"> Strategy for Research and Innovation 2022-2027 reflect Ireland’s policy and developments on managing industrial transition.</w:t>
            </w:r>
          </w:p>
          <w:p w14:paraId="692BF605" w14:textId="77777777" w:rsidR="00A77B3E" w:rsidRDefault="00A77B3E">
            <w:pPr>
              <w:spacing w:before="100"/>
              <w:rPr>
                <w:color w:val="000000"/>
                <w:sz w:val="20"/>
              </w:rPr>
            </w:pPr>
          </w:p>
          <w:p w14:paraId="568A15ED" w14:textId="77777777" w:rsidR="00A77B3E" w:rsidRDefault="00000000">
            <w:pPr>
              <w:spacing w:before="100"/>
              <w:rPr>
                <w:color w:val="000000"/>
                <w:sz w:val="20"/>
              </w:rPr>
            </w:pPr>
            <w:r>
              <w:rPr>
                <w:color w:val="000000"/>
                <w:sz w:val="20"/>
              </w:rPr>
              <w:t>Ireland’s Industry 4.0 Strategy 2020-2025</w:t>
            </w:r>
          </w:p>
          <w:p w14:paraId="0A780576" w14:textId="77777777" w:rsidR="00A77B3E" w:rsidRDefault="00A77B3E">
            <w:pPr>
              <w:spacing w:before="100"/>
              <w:rPr>
                <w:color w:val="000000"/>
                <w:sz w:val="20"/>
              </w:rPr>
            </w:pPr>
          </w:p>
          <w:p w14:paraId="3976239C" w14:textId="77777777" w:rsidR="00A77B3E" w:rsidRDefault="00000000">
            <w:pPr>
              <w:spacing w:before="100"/>
              <w:rPr>
                <w:color w:val="000000"/>
                <w:sz w:val="20"/>
              </w:rPr>
            </w:pPr>
            <w:r>
              <w:rPr>
                <w:color w:val="000000"/>
                <w:sz w:val="20"/>
              </w:rPr>
              <w:t>Climate Action Plan 2021</w:t>
            </w:r>
          </w:p>
          <w:p w14:paraId="0440E3CE" w14:textId="77777777" w:rsidR="00A77B3E" w:rsidRDefault="00A77B3E">
            <w:pPr>
              <w:spacing w:before="100"/>
              <w:rPr>
                <w:color w:val="000000"/>
                <w:sz w:val="20"/>
              </w:rPr>
            </w:pPr>
          </w:p>
          <w:p w14:paraId="486FF7EE" w14:textId="77777777" w:rsidR="00A77B3E" w:rsidRDefault="00000000">
            <w:pPr>
              <w:spacing w:before="100"/>
              <w:rPr>
                <w:color w:val="000000"/>
                <w:sz w:val="20"/>
              </w:rPr>
            </w:pPr>
            <w:r>
              <w:rPr>
                <w:color w:val="000000"/>
                <w:sz w:val="20"/>
              </w:rPr>
              <w:t>Our Rural Future: Rural Development Policy 2021-2025</w:t>
            </w:r>
          </w:p>
          <w:p w14:paraId="0A8731BE" w14:textId="77777777" w:rsidR="00A77B3E" w:rsidRDefault="00A77B3E">
            <w:pPr>
              <w:spacing w:before="100"/>
              <w:rPr>
                <w:color w:val="000000"/>
                <w:sz w:val="20"/>
              </w:rPr>
            </w:pPr>
          </w:p>
          <w:p w14:paraId="7F8BF60D" w14:textId="77777777" w:rsidR="00A77B3E" w:rsidRDefault="00000000">
            <w:pPr>
              <w:spacing w:before="100"/>
              <w:rPr>
                <w:color w:val="000000"/>
                <w:sz w:val="20"/>
              </w:rPr>
            </w:pPr>
            <w:r>
              <w:rPr>
                <w:color w:val="000000"/>
                <w:sz w:val="20"/>
              </w:rPr>
              <w:lastRenderedPageBreak/>
              <w:t>National Recovery and Resilience Plan 2021</w:t>
            </w:r>
          </w:p>
          <w:p w14:paraId="376B3B1F" w14:textId="77777777" w:rsidR="00A77B3E" w:rsidRDefault="00A77B3E">
            <w:pPr>
              <w:spacing w:before="100"/>
              <w:rPr>
                <w:color w:val="000000"/>
                <w:sz w:val="20"/>
              </w:rPr>
            </w:pPr>
          </w:p>
          <w:p w14:paraId="27C7EB68" w14:textId="77777777" w:rsidR="00A77B3E" w:rsidRDefault="00000000">
            <w:pPr>
              <w:spacing w:before="100"/>
              <w:rPr>
                <w:color w:val="000000"/>
                <w:sz w:val="20"/>
              </w:rPr>
            </w:pPr>
            <w:r>
              <w:rPr>
                <w:color w:val="000000"/>
                <w:sz w:val="20"/>
              </w:rPr>
              <w:t>Future Jobs Ireland 2019</w:t>
            </w:r>
          </w:p>
          <w:p w14:paraId="3B9EB1C6" w14:textId="77777777" w:rsidR="00A77B3E" w:rsidRDefault="00A77B3E">
            <w:pPr>
              <w:spacing w:before="100"/>
              <w:rPr>
                <w:color w:val="000000"/>
                <w:sz w:val="20"/>
              </w:rPr>
            </w:pPr>
          </w:p>
          <w:p w14:paraId="5216CD39" w14:textId="77777777" w:rsidR="00A77B3E" w:rsidRDefault="00000000">
            <w:pPr>
              <w:spacing w:before="100"/>
              <w:rPr>
                <w:color w:val="000000"/>
                <w:sz w:val="20"/>
              </w:rPr>
            </w:pPr>
            <w:r>
              <w:rPr>
                <w:color w:val="000000"/>
                <w:sz w:val="20"/>
              </w:rPr>
              <w:t xml:space="preserve">Draft territorial Just Transition plan for €84.5 million from the EU Just Transition Fund over the </w:t>
            </w:r>
            <w:proofErr w:type="spellStart"/>
            <w:r>
              <w:rPr>
                <w:color w:val="000000"/>
                <w:sz w:val="20"/>
              </w:rPr>
              <w:t>programme</w:t>
            </w:r>
            <w:proofErr w:type="spellEnd"/>
            <w:r>
              <w:rPr>
                <w:color w:val="000000"/>
                <w:sz w:val="20"/>
              </w:rPr>
              <w:t xml:space="preserve"> period of 2021-2027.</w:t>
            </w:r>
          </w:p>
          <w:p w14:paraId="4FCBEACF" w14:textId="77777777" w:rsidR="00A77B3E" w:rsidRDefault="00A77B3E">
            <w:pPr>
              <w:spacing w:before="100"/>
              <w:rPr>
                <w:color w:val="000000"/>
                <w:sz w:val="20"/>
              </w:rPr>
            </w:pPr>
          </w:p>
          <w:p w14:paraId="5CFBDEA4" w14:textId="77777777" w:rsidR="00A77B3E" w:rsidRDefault="00000000">
            <w:pPr>
              <w:spacing w:before="100"/>
              <w:rPr>
                <w:color w:val="000000"/>
                <w:sz w:val="20"/>
              </w:rPr>
            </w:pPr>
            <w:r>
              <w:rPr>
                <w:color w:val="000000"/>
                <w:sz w:val="20"/>
              </w:rPr>
              <w:t>New Regional Enterprise Plans to 2024</w:t>
            </w:r>
          </w:p>
          <w:p w14:paraId="45991271"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C65633A" w14:textId="77777777" w:rsidR="00A77B3E" w:rsidRDefault="00000000">
            <w:pPr>
              <w:spacing w:before="100"/>
              <w:rPr>
                <w:color w:val="000000"/>
                <w:sz w:val="20"/>
              </w:rPr>
            </w:pPr>
            <w:r>
              <w:rPr>
                <w:color w:val="000000"/>
                <w:sz w:val="20"/>
              </w:rPr>
              <w:lastRenderedPageBreak/>
              <w:t>Structural economic change is a persistent feature of Ireland’s development over the past 30 years, more so than in most other OECD members. Ireland’s ability to adapt to demographic, economic and technological trends has coincided with growing innovation activity, increased infrastructural support for RD&amp;I and the expanding role of technology in its economy.</w:t>
            </w:r>
          </w:p>
          <w:p w14:paraId="789C6A4E" w14:textId="77777777" w:rsidR="00A77B3E" w:rsidRDefault="00000000">
            <w:pPr>
              <w:spacing w:before="100"/>
              <w:rPr>
                <w:color w:val="000000"/>
                <w:sz w:val="20"/>
              </w:rPr>
            </w:pPr>
            <w:r>
              <w:rPr>
                <w:color w:val="000000"/>
                <w:sz w:val="20"/>
              </w:rPr>
              <w:t xml:space="preserve">Major elements of current industrial transition, namely </w:t>
            </w:r>
            <w:proofErr w:type="spellStart"/>
            <w:r>
              <w:rPr>
                <w:color w:val="000000"/>
                <w:sz w:val="20"/>
              </w:rPr>
              <w:t>digitalisation</w:t>
            </w:r>
            <w:proofErr w:type="spellEnd"/>
            <w:r>
              <w:rPr>
                <w:color w:val="000000"/>
                <w:sz w:val="20"/>
              </w:rPr>
              <w:t xml:space="preserve"> and the green transition, are supported by numerous policies and initiatives. These mechanisms include Future Manufacturing Ireland, clusters, EDIHs, remote working hubs, the AI strategy, </w:t>
            </w:r>
            <w:r>
              <w:rPr>
                <w:color w:val="000000"/>
                <w:sz w:val="20"/>
              </w:rPr>
              <w:lastRenderedPageBreak/>
              <w:t xml:space="preserve">Our Rural Future, the NRRP, the EU Just Transition Fund and the Climate Action Plan 2021. Along with improved co-ordination between these existing mechanisms and new supports financed by ERDF, S3 will guide strengthened financial support to enterprises to reduce their carbon emissions and develop skilled workers to work within green industries, as well as embracing and adjusting to </w:t>
            </w:r>
            <w:proofErr w:type="spellStart"/>
            <w:r>
              <w:rPr>
                <w:color w:val="000000"/>
                <w:sz w:val="20"/>
              </w:rPr>
              <w:t>digitalisation</w:t>
            </w:r>
            <w:proofErr w:type="spellEnd"/>
            <w:r>
              <w:rPr>
                <w:color w:val="000000"/>
                <w:sz w:val="20"/>
              </w:rPr>
              <w:t>. Regional sectors particularly affected include manufacturing, agri-food, renewable energy, and the blue economy.</w:t>
            </w:r>
          </w:p>
          <w:p w14:paraId="23A7220E" w14:textId="77777777" w:rsidR="00A77B3E" w:rsidRDefault="00A77B3E">
            <w:pPr>
              <w:spacing w:before="100"/>
              <w:rPr>
                <w:color w:val="000000"/>
                <w:sz w:val="20"/>
              </w:rPr>
            </w:pPr>
          </w:p>
        </w:tc>
      </w:tr>
      <w:tr w:rsidR="00B82D50" w14:paraId="38DBC6B6"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E0FD26"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5C8593"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7D5262"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CE6EB7"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7A38A6" w14:textId="77777777" w:rsidR="00A77B3E" w:rsidRDefault="00000000">
            <w:pPr>
              <w:spacing w:before="100"/>
              <w:rPr>
                <w:color w:val="000000"/>
                <w:sz w:val="20"/>
              </w:rPr>
            </w:pPr>
            <w:r>
              <w:rPr>
                <w:color w:val="000000"/>
                <w:sz w:val="20"/>
              </w:rPr>
              <w:t xml:space="preserve">7. Measures for enhancing cooperation with partners outside a given Member State in priority areas supported by the smart </w:t>
            </w:r>
            <w:proofErr w:type="spellStart"/>
            <w:r>
              <w:rPr>
                <w:color w:val="000000"/>
                <w:sz w:val="20"/>
              </w:rPr>
              <w:t>specialisation</w:t>
            </w:r>
            <w:proofErr w:type="spellEnd"/>
            <w:r>
              <w:rPr>
                <w:color w:val="000000"/>
                <w:sz w:val="20"/>
              </w:rPr>
              <w:t xml:space="preserve"> strategy.</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7DC0DCC"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00A2E9E" w14:textId="77777777" w:rsidR="00A77B3E" w:rsidRDefault="00000000">
            <w:pPr>
              <w:spacing w:before="100"/>
              <w:rPr>
                <w:color w:val="000000"/>
                <w:sz w:val="20"/>
              </w:rPr>
            </w:pPr>
            <w:r>
              <w:rPr>
                <w:color w:val="000000"/>
                <w:sz w:val="20"/>
              </w:rPr>
              <w:t xml:space="preserve">Chapters 4.5 and 4.6 of the National Smart </w:t>
            </w:r>
            <w:proofErr w:type="spellStart"/>
            <w:r>
              <w:rPr>
                <w:color w:val="000000"/>
                <w:sz w:val="20"/>
              </w:rPr>
              <w:t>Specialisation</w:t>
            </w:r>
            <w:proofErr w:type="spellEnd"/>
            <w:r>
              <w:rPr>
                <w:color w:val="000000"/>
                <w:sz w:val="20"/>
              </w:rPr>
              <w:t xml:space="preserve"> Strategy for Research and Innovation 2022-2027 reflect Ireland’s policy and developments on international collaboration on RD&amp;I and improving the national enterprise research and innovation system.</w:t>
            </w:r>
          </w:p>
          <w:p w14:paraId="71AB1F43" w14:textId="77777777" w:rsidR="00A77B3E" w:rsidRDefault="00A77B3E">
            <w:pPr>
              <w:spacing w:before="100"/>
              <w:rPr>
                <w:color w:val="000000"/>
                <w:sz w:val="20"/>
              </w:rPr>
            </w:pPr>
          </w:p>
          <w:p w14:paraId="4CDB5290" w14:textId="77777777" w:rsidR="00A77B3E" w:rsidRDefault="00000000">
            <w:pPr>
              <w:spacing w:before="100"/>
              <w:rPr>
                <w:color w:val="000000"/>
                <w:sz w:val="20"/>
              </w:rPr>
            </w:pPr>
            <w:r>
              <w:rPr>
                <w:color w:val="000000"/>
                <w:sz w:val="20"/>
              </w:rPr>
              <w:t>Impact 2030: Ireland’s Research and Innovation Strategy</w:t>
            </w:r>
          </w:p>
          <w:p w14:paraId="14FB36A8" w14:textId="77777777" w:rsidR="00A77B3E" w:rsidRDefault="00A77B3E">
            <w:pPr>
              <w:spacing w:before="100"/>
              <w:rPr>
                <w:color w:val="000000"/>
                <w:sz w:val="20"/>
              </w:rPr>
            </w:pPr>
          </w:p>
          <w:p w14:paraId="046C846E" w14:textId="77777777" w:rsidR="00A77B3E" w:rsidRDefault="00000000">
            <w:pPr>
              <w:spacing w:before="100"/>
              <w:rPr>
                <w:color w:val="000000"/>
                <w:sz w:val="20"/>
              </w:rPr>
            </w:pPr>
            <w:r>
              <w:rPr>
                <w:color w:val="000000"/>
                <w:sz w:val="20"/>
              </w:rPr>
              <w:t>New Regional Enterprise Plans to 2024</w:t>
            </w:r>
          </w:p>
          <w:p w14:paraId="522128AE" w14:textId="77777777" w:rsidR="00A77B3E" w:rsidRDefault="00A77B3E">
            <w:pPr>
              <w:spacing w:before="100"/>
              <w:rPr>
                <w:color w:val="000000"/>
                <w:sz w:val="20"/>
              </w:rPr>
            </w:pPr>
          </w:p>
          <w:p w14:paraId="5D22884E" w14:textId="77777777" w:rsidR="00A77B3E" w:rsidRDefault="00000000">
            <w:pPr>
              <w:spacing w:before="100"/>
              <w:rPr>
                <w:color w:val="000000"/>
                <w:sz w:val="20"/>
              </w:rPr>
            </w:pPr>
            <w:r>
              <w:rPr>
                <w:color w:val="000000"/>
                <w:sz w:val="20"/>
              </w:rPr>
              <w:t>Research Priority Areas 2018-2023</w:t>
            </w:r>
          </w:p>
          <w:p w14:paraId="10D40429" w14:textId="77777777" w:rsidR="00A77B3E" w:rsidRDefault="00A77B3E">
            <w:pPr>
              <w:spacing w:before="100"/>
              <w:rPr>
                <w:color w:val="000000"/>
                <w:sz w:val="20"/>
              </w:rPr>
            </w:pPr>
          </w:p>
          <w:p w14:paraId="30B05AFC" w14:textId="77777777" w:rsidR="00A77B3E" w:rsidRDefault="00000000">
            <w:pPr>
              <w:spacing w:before="100"/>
              <w:rPr>
                <w:color w:val="000000"/>
                <w:sz w:val="20"/>
              </w:rPr>
            </w:pPr>
            <w:r>
              <w:rPr>
                <w:color w:val="000000"/>
                <w:sz w:val="20"/>
              </w:rPr>
              <w:t>Ireland’s European Research Area Roadmap</w:t>
            </w:r>
          </w:p>
          <w:p w14:paraId="789F30F6" w14:textId="77777777" w:rsidR="00A77B3E" w:rsidRDefault="00A77B3E">
            <w:pPr>
              <w:spacing w:before="100"/>
              <w:rPr>
                <w:color w:val="000000"/>
                <w:sz w:val="20"/>
              </w:rPr>
            </w:pPr>
          </w:p>
          <w:p w14:paraId="0E264F25" w14:textId="77777777" w:rsidR="00A77B3E" w:rsidRDefault="00000000">
            <w:pPr>
              <w:spacing w:before="100"/>
              <w:rPr>
                <w:color w:val="000000"/>
                <w:sz w:val="20"/>
              </w:rPr>
            </w:pPr>
            <w:r>
              <w:rPr>
                <w:color w:val="000000"/>
                <w:sz w:val="20"/>
              </w:rPr>
              <w:lastRenderedPageBreak/>
              <w:t>Knowledge Transfer Ireland’s Annual Knowledge Transfer Survey 2021</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B708FE" w14:textId="77777777" w:rsidR="00A77B3E" w:rsidRDefault="00000000">
            <w:pPr>
              <w:spacing w:before="100"/>
              <w:rPr>
                <w:color w:val="000000"/>
                <w:sz w:val="20"/>
              </w:rPr>
            </w:pPr>
            <w:r>
              <w:rPr>
                <w:color w:val="000000"/>
                <w:sz w:val="20"/>
              </w:rPr>
              <w:lastRenderedPageBreak/>
              <w:t xml:space="preserve">The IG’s </w:t>
            </w:r>
            <w:proofErr w:type="spellStart"/>
            <w:r>
              <w:rPr>
                <w:color w:val="000000"/>
                <w:sz w:val="20"/>
              </w:rPr>
              <w:t>ToR</w:t>
            </w:r>
            <w:proofErr w:type="spellEnd"/>
            <w:r>
              <w:rPr>
                <w:color w:val="000000"/>
                <w:sz w:val="20"/>
              </w:rPr>
              <w:t xml:space="preserve"> will include the identification of collaborative RD&amp;I opportunities with other regions in S3 priority areas by employing the forthcoming S3 Platform’s R&amp;I </w:t>
            </w:r>
            <w:proofErr w:type="spellStart"/>
            <w:r>
              <w:rPr>
                <w:color w:val="000000"/>
                <w:sz w:val="20"/>
              </w:rPr>
              <w:t>TEDv</w:t>
            </w:r>
            <w:proofErr w:type="spellEnd"/>
            <w:r>
              <w:rPr>
                <w:color w:val="000000"/>
                <w:sz w:val="20"/>
              </w:rPr>
              <w:t>.</w:t>
            </w:r>
          </w:p>
          <w:p w14:paraId="7EE0EE35" w14:textId="77777777" w:rsidR="00A77B3E" w:rsidRDefault="00000000">
            <w:pPr>
              <w:spacing w:before="100"/>
              <w:rPr>
                <w:color w:val="000000"/>
                <w:sz w:val="20"/>
              </w:rPr>
            </w:pPr>
            <w:r>
              <w:rPr>
                <w:color w:val="000000"/>
                <w:sz w:val="20"/>
              </w:rPr>
              <w:t>Ireland’s main mechanism for international engagement is Horizon with 14,000 collaborations with main partner Germany, alone. Ireland is committed to deepen this engagement by increasing research capacity through ERDF, informed and supported by S3, leveraging our NCPs, KTI, and our international networks.</w:t>
            </w:r>
          </w:p>
          <w:p w14:paraId="161F63DD" w14:textId="77777777" w:rsidR="00A77B3E" w:rsidRDefault="00000000">
            <w:pPr>
              <w:spacing w:before="100"/>
              <w:rPr>
                <w:color w:val="000000"/>
                <w:sz w:val="20"/>
              </w:rPr>
            </w:pPr>
            <w:r>
              <w:rPr>
                <w:color w:val="000000"/>
                <w:sz w:val="20"/>
              </w:rPr>
              <w:t xml:space="preserve">Impact 2030 has many actions to support international engagement, which will be informed by S3. Impact 2030 commits to a joined-up approach on horizon-scanning building on EI and IDA megatrends mapping, to inform Ireland’s R&amp;D investment priorities, </w:t>
            </w:r>
            <w:r>
              <w:rPr>
                <w:color w:val="000000"/>
                <w:sz w:val="20"/>
              </w:rPr>
              <w:lastRenderedPageBreak/>
              <w:t>including international engagement activities.</w:t>
            </w:r>
          </w:p>
          <w:p w14:paraId="4D46CB75" w14:textId="77777777" w:rsidR="00A77B3E" w:rsidRDefault="00A77B3E">
            <w:pPr>
              <w:spacing w:before="100"/>
              <w:rPr>
                <w:color w:val="000000"/>
                <w:sz w:val="20"/>
              </w:rPr>
            </w:pPr>
          </w:p>
          <w:p w14:paraId="2FF82DDB" w14:textId="77777777" w:rsidR="00A77B3E" w:rsidRDefault="00000000">
            <w:pPr>
              <w:spacing w:before="100"/>
              <w:rPr>
                <w:color w:val="000000"/>
                <w:sz w:val="20"/>
              </w:rPr>
            </w:pPr>
            <w:r>
              <w:rPr>
                <w:color w:val="000000"/>
                <w:sz w:val="20"/>
              </w:rPr>
              <w:t xml:space="preserve">The IG will engage with </w:t>
            </w:r>
            <w:proofErr w:type="spellStart"/>
            <w:r>
              <w:rPr>
                <w:color w:val="000000"/>
                <w:sz w:val="20"/>
              </w:rPr>
              <w:t>programme</w:t>
            </w:r>
            <w:proofErr w:type="spellEnd"/>
            <w:r>
              <w:rPr>
                <w:color w:val="000000"/>
                <w:sz w:val="20"/>
              </w:rPr>
              <w:t xml:space="preserve"> leads to assist with international engagement on ERDF schemes. Using existing international links, IG members will share information on opportunities through EDIHs, IPCEIs, ERA, Interreg Europe, COHES3ION, EUREKA, ESA, </w:t>
            </w:r>
            <w:proofErr w:type="spellStart"/>
            <w:r>
              <w:rPr>
                <w:color w:val="000000"/>
                <w:sz w:val="20"/>
              </w:rPr>
              <w:t>EuroHPC</w:t>
            </w:r>
            <w:proofErr w:type="spellEnd"/>
            <w:r>
              <w:rPr>
                <w:color w:val="000000"/>
                <w:sz w:val="20"/>
              </w:rPr>
              <w:t xml:space="preserve">, </w:t>
            </w:r>
            <w:proofErr w:type="spellStart"/>
            <w:r>
              <w:rPr>
                <w:color w:val="000000"/>
                <w:sz w:val="20"/>
              </w:rPr>
              <w:t>EuroCC</w:t>
            </w:r>
            <w:proofErr w:type="spellEnd"/>
            <w:r>
              <w:rPr>
                <w:color w:val="000000"/>
                <w:sz w:val="20"/>
              </w:rPr>
              <w:t xml:space="preserve">, the European CCP and others. Other </w:t>
            </w:r>
            <w:proofErr w:type="spellStart"/>
            <w:r>
              <w:rPr>
                <w:color w:val="000000"/>
                <w:sz w:val="20"/>
              </w:rPr>
              <w:t>endeavours</w:t>
            </w:r>
            <w:proofErr w:type="spellEnd"/>
            <w:r>
              <w:rPr>
                <w:color w:val="000000"/>
                <w:sz w:val="20"/>
              </w:rPr>
              <w:t xml:space="preserve"> to support such international collaboration are contained in S3.</w:t>
            </w:r>
          </w:p>
          <w:p w14:paraId="5F04090B" w14:textId="77777777" w:rsidR="00A77B3E" w:rsidRDefault="00A77B3E">
            <w:pPr>
              <w:spacing w:before="100"/>
              <w:rPr>
                <w:color w:val="000000"/>
                <w:sz w:val="20"/>
              </w:rPr>
            </w:pPr>
          </w:p>
        </w:tc>
      </w:tr>
      <w:tr w:rsidR="00B82D50" w14:paraId="4EFA5B80"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262F42E" w14:textId="77777777" w:rsidR="00A77B3E" w:rsidRDefault="00000000">
            <w:pPr>
              <w:spacing w:before="100"/>
              <w:rPr>
                <w:color w:val="000000"/>
                <w:sz w:val="20"/>
              </w:rPr>
            </w:pPr>
            <w:r>
              <w:rPr>
                <w:color w:val="000000"/>
                <w:sz w:val="20"/>
              </w:rPr>
              <w:lastRenderedPageBreak/>
              <w:t>2.1. Strategic policy framework to support energy efficiency renovation of residential and non-residential buildings</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3E6E2B" w14:textId="77777777" w:rsidR="00A77B3E" w:rsidRDefault="00A77B3E">
            <w:pPr>
              <w:spacing w:before="100"/>
              <w:rPr>
                <w:color w:val="000000"/>
                <w:sz w:val="20"/>
              </w:rPr>
            </w:pPr>
          </w:p>
          <w:p w14:paraId="3B1518DA" w14:textId="77777777" w:rsidR="00A77B3E" w:rsidRDefault="00000000">
            <w:pPr>
              <w:spacing w:before="100"/>
              <w:rPr>
                <w:color w:val="000000"/>
                <w:sz w:val="20"/>
                <w:szCs w:val="20"/>
              </w:rPr>
            </w:pPr>
            <w:r>
              <w:rPr>
                <w:color w:val="000000"/>
                <w:sz w:val="20"/>
                <w:szCs w:val="20"/>
              </w:rPr>
              <w:t>ERDF</w:t>
            </w:r>
          </w:p>
          <w:p w14:paraId="336723A2"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6CEDFC9" w14:textId="77777777" w:rsidR="00A77B3E" w:rsidRDefault="00A77B3E">
            <w:pPr>
              <w:spacing w:before="100"/>
              <w:rPr>
                <w:color w:val="000000"/>
                <w:sz w:val="20"/>
              </w:rPr>
            </w:pPr>
          </w:p>
          <w:p w14:paraId="196BE502" w14:textId="77777777" w:rsidR="00A77B3E" w:rsidRDefault="00000000">
            <w:pPr>
              <w:spacing w:before="100"/>
              <w:rPr>
                <w:color w:val="000000"/>
                <w:sz w:val="20"/>
                <w:szCs w:val="20"/>
              </w:rPr>
            </w:pPr>
            <w:r>
              <w:rPr>
                <w:color w:val="000000"/>
                <w:sz w:val="20"/>
                <w:szCs w:val="20"/>
              </w:rPr>
              <w:t>RSO2.1. Promoting energy efficiency and reducing greenhouse gas emissions</w:t>
            </w:r>
          </w:p>
          <w:p w14:paraId="5B3D4009"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CE8FF4" w14:textId="77777777" w:rsidR="00A77B3E" w:rsidRDefault="00000000">
            <w:pPr>
              <w:spacing w:before="100"/>
              <w:jc w:val="center"/>
              <w:rPr>
                <w:color w:val="000000"/>
                <w:sz w:val="20"/>
              </w:rPr>
            </w:pPr>
            <w:r>
              <w:rPr>
                <w:color w:val="000000"/>
                <w:sz w:val="20"/>
              </w:rPr>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A75790E" w14:textId="77777777" w:rsidR="00A77B3E" w:rsidRDefault="00000000">
            <w:pPr>
              <w:spacing w:before="100"/>
              <w:rPr>
                <w:color w:val="000000"/>
                <w:sz w:val="20"/>
              </w:rPr>
            </w:pPr>
            <w:r>
              <w:rPr>
                <w:color w:val="000000"/>
                <w:sz w:val="20"/>
              </w:rPr>
              <w:t>1. A national long term renovation strategy to support the renovation of the national stock of residential and non-residential buildings is adopted, in line with the requirements of Directive (EU) 2010/31/EU of the European Parliament and of the Council , which:</w:t>
            </w:r>
          </w:p>
          <w:p w14:paraId="77B1D9C3" w14:textId="77777777" w:rsidR="00A77B3E" w:rsidRDefault="00000000">
            <w:pPr>
              <w:spacing w:before="100"/>
              <w:rPr>
                <w:color w:val="000000"/>
                <w:sz w:val="20"/>
              </w:rPr>
            </w:pPr>
            <w:r>
              <w:rPr>
                <w:color w:val="000000"/>
                <w:sz w:val="20"/>
              </w:rPr>
              <w:t>(a) entails indicative milestones for 2030, 2040 and 2050;</w:t>
            </w:r>
          </w:p>
          <w:p w14:paraId="7CFBF935" w14:textId="77777777" w:rsidR="00A77B3E" w:rsidRDefault="00000000">
            <w:pPr>
              <w:spacing w:before="100"/>
              <w:rPr>
                <w:color w:val="000000"/>
                <w:sz w:val="20"/>
              </w:rPr>
            </w:pPr>
            <w:r>
              <w:rPr>
                <w:color w:val="000000"/>
                <w:sz w:val="20"/>
              </w:rPr>
              <w:t>(b) provides an indicative outline of financial resources to support the implementation of the strategy;</w:t>
            </w:r>
          </w:p>
          <w:p w14:paraId="699471B1" w14:textId="77777777" w:rsidR="00A77B3E" w:rsidRDefault="00000000">
            <w:pPr>
              <w:spacing w:before="100"/>
              <w:rPr>
                <w:color w:val="000000"/>
                <w:sz w:val="20"/>
              </w:rPr>
            </w:pPr>
            <w:r>
              <w:rPr>
                <w:color w:val="000000"/>
                <w:sz w:val="20"/>
              </w:rPr>
              <w:t>(c) defines effective mechanisms for promoting investments in building renovation.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DA94D9"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28D4B36" w14:textId="77777777" w:rsidR="00A77B3E" w:rsidRDefault="00000000">
            <w:pPr>
              <w:spacing w:before="100"/>
              <w:rPr>
                <w:color w:val="000000"/>
                <w:sz w:val="20"/>
              </w:rPr>
            </w:pPr>
            <w:r>
              <w:rPr>
                <w:color w:val="000000"/>
                <w:sz w:val="20"/>
              </w:rPr>
              <w:t>Ireland's Long Term Renovation Strategy 2020</w:t>
            </w:r>
          </w:p>
          <w:p w14:paraId="218B0C31" w14:textId="77777777" w:rsidR="00A77B3E" w:rsidRDefault="00000000">
            <w:pPr>
              <w:spacing w:before="100"/>
              <w:rPr>
                <w:color w:val="000000"/>
                <w:sz w:val="20"/>
              </w:rPr>
            </w:pPr>
            <w:r>
              <w:rPr>
                <w:color w:val="000000"/>
                <w:sz w:val="20"/>
              </w:rPr>
              <w:t>https://www.gov.ie/en/publication/a4d69-long-term-renovation-strategy/</w:t>
            </w:r>
          </w:p>
          <w:p w14:paraId="6E5F88C4" w14:textId="77777777" w:rsidR="00A77B3E" w:rsidRDefault="00A77B3E">
            <w:pPr>
              <w:spacing w:before="100"/>
              <w:rPr>
                <w:color w:val="000000"/>
                <w:sz w:val="20"/>
              </w:rPr>
            </w:pPr>
          </w:p>
          <w:p w14:paraId="620EC6A8" w14:textId="77777777" w:rsidR="00A77B3E" w:rsidRDefault="00000000">
            <w:pPr>
              <w:spacing w:before="100"/>
              <w:rPr>
                <w:color w:val="000000"/>
                <w:sz w:val="20"/>
              </w:rPr>
            </w:pPr>
            <w:r>
              <w:rPr>
                <w:color w:val="000000"/>
                <w:sz w:val="20"/>
              </w:rPr>
              <w:t>National Retrofit Plan (Chapter 14 of Climate Action Plan 2021)</w:t>
            </w:r>
          </w:p>
          <w:p w14:paraId="6BE7F3D2" w14:textId="77777777" w:rsidR="00A77B3E" w:rsidRDefault="00000000">
            <w:pPr>
              <w:spacing w:before="100"/>
              <w:rPr>
                <w:color w:val="000000"/>
                <w:sz w:val="20"/>
              </w:rPr>
            </w:pPr>
            <w:r>
              <w:rPr>
                <w:color w:val="000000"/>
                <w:sz w:val="20"/>
              </w:rPr>
              <w:t>https://www.gov.ie/en/publication/6223e-climate-action-plan-2021/</w:t>
            </w:r>
          </w:p>
          <w:p w14:paraId="3C81A27F"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43A87E" w14:textId="77777777" w:rsidR="00A77B3E" w:rsidRDefault="00000000">
            <w:pPr>
              <w:spacing w:before="100"/>
              <w:rPr>
                <w:color w:val="000000"/>
                <w:sz w:val="20"/>
              </w:rPr>
            </w:pPr>
            <w:r>
              <w:rPr>
                <w:color w:val="000000"/>
                <w:sz w:val="20"/>
              </w:rPr>
              <w:t xml:space="preserve">Ireland published its Long-Term Renovation Strategy (LTRS) and submitted it to the European Commission in 2020 as required under the Energy Performance of Buildings Directive (2018/844/EU) (Recast). </w:t>
            </w:r>
          </w:p>
          <w:p w14:paraId="42A3D91E" w14:textId="77777777" w:rsidR="00A77B3E" w:rsidRDefault="00A77B3E">
            <w:pPr>
              <w:spacing w:before="100"/>
              <w:rPr>
                <w:color w:val="000000"/>
                <w:sz w:val="20"/>
              </w:rPr>
            </w:pPr>
          </w:p>
          <w:p w14:paraId="22CD2A98" w14:textId="77777777" w:rsidR="00A77B3E" w:rsidRDefault="00000000">
            <w:pPr>
              <w:spacing w:before="100"/>
              <w:rPr>
                <w:color w:val="000000"/>
                <w:sz w:val="20"/>
              </w:rPr>
            </w:pPr>
            <w:r>
              <w:rPr>
                <w:color w:val="000000"/>
                <w:sz w:val="20"/>
              </w:rPr>
              <w:t xml:space="preserve">Ireland subsequently published the National Retrofit Plan – which builds on and augments the LTRS as part of the Climate Action Plan 2021. This plan (and future National Retrofit Plans) provide further detailed target setting. </w:t>
            </w:r>
          </w:p>
          <w:p w14:paraId="33E7C2C4" w14:textId="77777777" w:rsidR="00A77B3E" w:rsidRDefault="00A77B3E">
            <w:pPr>
              <w:spacing w:before="100"/>
              <w:rPr>
                <w:color w:val="000000"/>
                <w:sz w:val="20"/>
              </w:rPr>
            </w:pPr>
          </w:p>
          <w:p w14:paraId="5D279FDC" w14:textId="77777777" w:rsidR="00A77B3E" w:rsidRDefault="00000000">
            <w:pPr>
              <w:spacing w:before="100"/>
              <w:rPr>
                <w:color w:val="000000"/>
                <w:sz w:val="20"/>
              </w:rPr>
            </w:pPr>
            <w:r>
              <w:rPr>
                <w:color w:val="000000"/>
                <w:sz w:val="20"/>
              </w:rPr>
              <w:t xml:space="preserve">Ireland is now on a legally binding path to net-Zero emissions no later than 2050, and to a 51% reduction in emissions by the end of this decade under the Climate Action and Low Carbon Development (Amendment) Act </w:t>
            </w:r>
            <w:r>
              <w:rPr>
                <w:color w:val="000000"/>
                <w:sz w:val="20"/>
              </w:rPr>
              <w:lastRenderedPageBreak/>
              <w:t>2021. The Act provides the framework for Ireland to meet its international and EU climate commitments and to become a leader in addressing climate change.</w:t>
            </w:r>
          </w:p>
          <w:p w14:paraId="542C9FC6" w14:textId="77777777" w:rsidR="00A77B3E" w:rsidRDefault="00A77B3E">
            <w:pPr>
              <w:spacing w:before="100"/>
              <w:rPr>
                <w:color w:val="000000"/>
                <w:sz w:val="20"/>
              </w:rPr>
            </w:pPr>
          </w:p>
        </w:tc>
      </w:tr>
      <w:tr w:rsidR="00B82D50" w14:paraId="6A9F7B3F"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5951EE7"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CF8936"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8CFE237"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262CBA"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8E9FC1" w14:textId="77777777" w:rsidR="00A77B3E" w:rsidRDefault="00000000">
            <w:pPr>
              <w:spacing w:before="100"/>
              <w:rPr>
                <w:color w:val="000000"/>
                <w:sz w:val="20"/>
              </w:rPr>
            </w:pPr>
            <w:r>
              <w:rPr>
                <w:color w:val="000000"/>
                <w:sz w:val="20"/>
              </w:rPr>
              <w:t>2. Energy efficiency improvement measures to achieve required energy savings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B939431"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7A8F6EA" w14:textId="77777777" w:rsidR="00A77B3E" w:rsidRDefault="00000000">
            <w:pPr>
              <w:spacing w:before="100"/>
              <w:rPr>
                <w:color w:val="000000"/>
                <w:sz w:val="20"/>
              </w:rPr>
            </w:pPr>
            <w:r>
              <w:rPr>
                <w:color w:val="000000"/>
                <w:sz w:val="20"/>
              </w:rPr>
              <w:t>Climate Action Plan 2021</w:t>
            </w:r>
          </w:p>
          <w:p w14:paraId="0815440E" w14:textId="77777777" w:rsidR="00A77B3E" w:rsidRDefault="00000000">
            <w:pPr>
              <w:spacing w:before="100"/>
              <w:rPr>
                <w:color w:val="000000"/>
                <w:sz w:val="20"/>
              </w:rPr>
            </w:pPr>
            <w:r>
              <w:rPr>
                <w:color w:val="000000"/>
                <w:sz w:val="20"/>
              </w:rPr>
              <w:t>https://www.gov.ie/en/publication/6223e-climate-action-plan-2021/</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2E086C8" w14:textId="77777777" w:rsidR="00A77B3E" w:rsidRDefault="00000000">
            <w:pPr>
              <w:spacing w:before="100"/>
              <w:rPr>
                <w:color w:val="000000"/>
                <w:sz w:val="20"/>
              </w:rPr>
            </w:pPr>
            <w:r>
              <w:rPr>
                <w:color w:val="000000"/>
                <w:sz w:val="20"/>
              </w:rPr>
              <w:t>In November 2021, Ireland published its Climate Action Plan 2021. This plan sets a roadmap for taking decisive action to halve our emissions by 2030 and reach net zero no later than 2050.</w:t>
            </w:r>
          </w:p>
        </w:tc>
      </w:tr>
      <w:tr w:rsidR="00B82D50" w14:paraId="73D4A41A" w14:textId="77777777">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34822DE" w14:textId="77777777" w:rsidR="00A77B3E" w:rsidRDefault="00000000">
            <w:pPr>
              <w:spacing w:before="100"/>
              <w:rPr>
                <w:color w:val="000000"/>
                <w:sz w:val="20"/>
              </w:rPr>
            </w:pPr>
            <w:r>
              <w:rPr>
                <w:color w:val="000000"/>
                <w:sz w:val="20"/>
              </w:rPr>
              <w:t>2.2. Governance of the energy sector</w:t>
            </w:r>
          </w:p>
        </w:tc>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6E3F3F" w14:textId="77777777" w:rsidR="00A77B3E" w:rsidRDefault="00A77B3E">
            <w:pPr>
              <w:spacing w:before="100"/>
              <w:rPr>
                <w:color w:val="000000"/>
                <w:sz w:val="20"/>
              </w:rPr>
            </w:pPr>
          </w:p>
          <w:p w14:paraId="7D7D07E3" w14:textId="77777777" w:rsidR="00A77B3E" w:rsidRDefault="00000000">
            <w:pPr>
              <w:spacing w:before="100"/>
              <w:rPr>
                <w:color w:val="000000"/>
                <w:sz w:val="20"/>
                <w:szCs w:val="20"/>
              </w:rPr>
            </w:pPr>
            <w:r>
              <w:rPr>
                <w:color w:val="000000"/>
                <w:sz w:val="20"/>
                <w:szCs w:val="20"/>
              </w:rPr>
              <w:t>ERDF</w:t>
            </w:r>
          </w:p>
          <w:p w14:paraId="40A4828D" w14:textId="77777777" w:rsidR="00A77B3E" w:rsidRDefault="00A77B3E">
            <w:pPr>
              <w:spacing w:before="100"/>
              <w:rPr>
                <w:color w:val="000000"/>
                <w:sz w:val="20"/>
              </w:rPr>
            </w:pPr>
          </w:p>
        </w:tc>
        <w:tc>
          <w:tcPr>
            <w:tcW w:w="16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2312209" w14:textId="77777777" w:rsidR="00A77B3E" w:rsidRDefault="00A77B3E">
            <w:pPr>
              <w:spacing w:before="100"/>
              <w:rPr>
                <w:color w:val="000000"/>
                <w:sz w:val="20"/>
              </w:rPr>
            </w:pPr>
          </w:p>
          <w:p w14:paraId="31F35956" w14:textId="77777777" w:rsidR="00A77B3E" w:rsidRDefault="00000000">
            <w:pPr>
              <w:spacing w:before="100"/>
              <w:rPr>
                <w:color w:val="000000"/>
                <w:sz w:val="20"/>
                <w:szCs w:val="20"/>
              </w:rPr>
            </w:pPr>
            <w:r>
              <w:rPr>
                <w:color w:val="000000"/>
                <w:sz w:val="20"/>
                <w:szCs w:val="20"/>
              </w:rPr>
              <w:t>RSO2.1. Promoting energy efficiency and reducing greenhouse gas emissions</w:t>
            </w:r>
          </w:p>
          <w:p w14:paraId="5FB6F635" w14:textId="77777777" w:rsidR="00A77B3E" w:rsidRDefault="00A77B3E">
            <w:pPr>
              <w:spacing w:before="100"/>
              <w:rPr>
                <w:color w:val="000000"/>
                <w:sz w:val="20"/>
              </w:rPr>
            </w:pP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10486B" w14:textId="77777777" w:rsidR="00A77B3E" w:rsidRDefault="00000000">
            <w:pPr>
              <w:spacing w:before="100"/>
              <w:jc w:val="center"/>
              <w:rPr>
                <w:color w:val="000000"/>
                <w:sz w:val="20"/>
              </w:rPr>
            </w:pPr>
            <w:r>
              <w:rPr>
                <w:color w:val="000000"/>
                <w:sz w:val="20"/>
              </w:rPr>
              <w:t>Yes</w:t>
            </w: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0B6D955" w14:textId="77777777" w:rsidR="00A77B3E" w:rsidRDefault="00000000">
            <w:pPr>
              <w:spacing w:before="100"/>
              <w:rPr>
                <w:color w:val="000000"/>
                <w:sz w:val="20"/>
              </w:rPr>
            </w:pPr>
            <w:r>
              <w:rPr>
                <w:color w:val="000000"/>
                <w:sz w:val="20"/>
              </w:rPr>
              <w:t>The integrated national energy and climate plan is notified to the Commission, in accordance with Article 3 of Regulation (EU) 2018/1999 and consistent with the long-term greenhouse gas emission reduction objectives under the Paris Agreement, which includes:</w:t>
            </w:r>
          </w:p>
          <w:p w14:paraId="11BC6F05" w14:textId="77777777" w:rsidR="00A77B3E" w:rsidRDefault="00000000">
            <w:pPr>
              <w:spacing w:before="100"/>
              <w:rPr>
                <w:color w:val="000000"/>
                <w:sz w:val="20"/>
              </w:rPr>
            </w:pPr>
            <w:r>
              <w:rPr>
                <w:color w:val="000000"/>
                <w:sz w:val="20"/>
              </w:rPr>
              <w:t>1. All elements required by the template set out in Annex I to Regulation (EU) 2018/1999.</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4FBBDD4"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8AE2B88" w14:textId="77777777" w:rsidR="00A77B3E" w:rsidRDefault="00000000">
            <w:pPr>
              <w:spacing w:before="100"/>
              <w:rPr>
                <w:color w:val="000000"/>
                <w:sz w:val="20"/>
              </w:rPr>
            </w:pPr>
            <w:r>
              <w:rPr>
                <w:color w:val="000000"/>
                <w:sz w:val="20"/>
              </w:rPr>
              <w:t>Ireland’s National Energy and Climate Plan 2021-2030</w:t>
            </w:r>
          </w:p>
          <w:p w14:paraId="5CC8DF1D" w14:textId="77777777" w:rsidR="00A77B3E" w:rsidRDefault="00A77B3E">
            <w:pPr>
              <w:spacing w:before="100"/>
              <w:rPr>
                <w:color w:val="000000"/>
                <w:sz w:val="20"/>
              </w:rPr>
            </w:pPr>
          </w:p>
          <w:p w14:paraId="21244C28" w14:textId="77777777" w:rsidR="00A77B3E" w:rsidRDefault="00000000">
            <w:pPr>
              <w:spacing w:before="100"/>
              <w:rPr>
                <w:color w:val="000000"/>
                <w:sz w:val="20"/>
              </w:rPr>
            </w:pPr>
            <w:r>
              <w:rPr>
                <w:color w:val="000000"/>
                <w:sz w:val="20"/>
              </w:rPr>
              <w:t>https://www.gov.ie/en/publication/0015c-irelands-national-energy-climate-plan-2021-2030/</w:t>
            </w:r>
          </w:p>
          <w:p w14:paraId="088A4E3C" w14:textId="77777777" w:rsidR="00A77B3E" w:rsidRDefault="00A77B3E">
            <w:pPr>
              <w:spacing w:before="100"/>
              <w:rPr>
                <w:color w:val="000000"/>
                <w:sz w:val="20"/>
              </w:rPr>
            </w:pPr>
          </w:p>
          <w:p w14:paraId="3CE81403" w14:textId="77777777" w:rsidR="00A77B3E" w:rsidRDefault="00000000">
            <w:pPr>
              <w:spacing w:before="100"/>
              <w:rPr>
                <w:color w:val="000000"/>
                <w:sz w:val="20"/>
              </w:rPr>
            </w:pPr>
            <w:r>
              <w:rPr>
                <w:color w:val="000000"/>
                <w:sz w:val="20"/>
              </w:rPr>
              <w:t>National Energy and Climate Plan 2021-2030</w:t>
            </w:r>
          </w:p>
          <w:p w14:paraId="2E54841E" w14:textId="77777777" w:rsidR="00A77B3E" w:rsidRDefault="00000000">
            <w:pPr>
              <w:spacing w:before="100"/>
              <w:rPr>
                <w:color w:val="000000"/>
                <w:sz w:val="20"/>
              </w:rPr>
            </w:pPr>
            <w:r>
              <w:rPr>
                <w:color w:val="000000"/>
                <w:sz w:val="20"/>
              </w:rPr>
              <w:t>https://assets.gov.ie/94442/f3e50986-9fde-4d34-aa35-319af3bfac0c.pdf</w:t>
            </w:r>
          </w:p>
          <w:p w14:paraId="7B5D423F" w14:textId="77777777" w:rsidR="00A77B3E" w:rsidRDefault="00A77B3E">
            <w:pPr>
              <w:spacing w:before="100"/>
              <w:rPr>
                <w:color w:val="000000"/>
                <w:sz w:val="20"/>
              </w:rPr>
            </w:pPr>
          </w:p>
          <w:p w14:paraId="43C35270" w14:textId="77777777" w:rsidR="00A77B3E" w:rsidRDefault="00000000">
            <w:pPr>
              <w:spacing w:before="100"/>
              <w:rPr>
                <w:color w:val="000000"/>
                <w:sz w:val="20"/>
              </w:rPr>
            </w:pPr>
            <w:r>
              <w:rPr>
                <w:color w:val="000000"/>
                <w:sz w:val="20"/>
              </w:rPr>
              <w:t>Annex 1 Part 2 NECP Ireland</w:t>
            </w:r>
          </w:p>
          <w:p w14:paraId="373E6DBA" w14:textId="77777777" w:rsidR="00A77B3E" w:rsidRDefault="00000000">
            <w:pPr>
              <w:spacing w:before="100"/>
              <w:rPr>
                <w:color w:val="000000"/>
                <w:sz w:val="20"/>
              </w:rPr>
            </w:pPr>
            <w:r>
              <w:rPr>
                <w:color w:val="000000"/>
                <w:sz w:val="20"/>
              </w:rPr>
              <w:t>https://assets.gov.ie/94444/1cfa6e5d-9e5e-4216-9a59-deca792ee3d8.pdf</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10446A5" w14:textId="77777777" w:rsidR="00A77B3E" w:rsidRDefault="00000000">
            <w:pPr>
              <w:spacing w:before="100"/>
              <w:rPr>
                <w:color w:val="000000"/>
                <w:sz w:val="20"/>
              </w:rPr>
            </w:pPr>
            <w:r>
              <w:rPr>
                <w:color w:val="000000"/>
                <w:sz w:val="20"/>
              </w:rPr>
              <w:t>Ireland's draft National Energy &amp; Climate Plan (NECP) 2021-2030 was submitted to the European Commission in December 2018. The draft NECP took into account energy and climate policies developed up to that point, the levels of demographic and economic growth identified in the Project 2040 process and included all of the climate and energy measures set out in the National Development Plan 2018-2027.</w:t>
            </w:r>
          </w:p>
          <w:p w14:paraId="4C170C1F" w14:textId="77777777" w:rsidR="00A77B3E" w:rsidRDefault="00A77B3E">
            <w:pPr>
              <w:spacing w:before="100"/>
              <w:rPr>
                <w:color w:val="000000"/>
                <w:sz w:val="20"/>
              </w:rPr>
            </w:pPr>
          </w:p>
          <w:p w14:paraId="2B38D58F" w14:textId="77777777" w:rsidR="00A77B3E" w:rsidRDefault="00000000">
            <w:pPr>
              <w:spacing w:before="100"/>
              <w:rPr>
                <w:color w:val="000000"/>
                <w:sz w:val="20"/>
              </w:rPr>
            </w:pPr>
            <w:r>
              <w:rPr>
                <w:color w:val="000000"/>
                <w:sz w:val="20"/>
              </w:rPr>
              <w:t>The 2019 NECP was prepared to incorporate all planned policies and measures that were identified up to the end of 2019 and which collectively deliver a 30% reduction by 2030 in non-ETS greenhouse gas emissions (from 2005 levels).</w:t>
            </w:r>
          </w:p>
          <w:p w14:paraId="3E658FB0" w14:textId="77777777" w:rsidR="00A77B3E" w:rsidRDefault="00A77B3E">
            <w:pPr>
              <w:spacing w:before="100"/>
              <w:rPr>
                <w:color w:val="000000"/>
                <w:sz w:val="20"/>
              </w:rPr>
            </w:pPr>
          </w:p>
          <w:p w14:paraId="59462A61" w14:textId="77777777" w:rsidR="00A77B3E" w:rsidRDefault="00000000">
            <w:pPr>
              <w:spacing w:before="100"/>
              <w:rPr>
                <w:color w:val="000000"/>
                <w:sz w:val="20"/>
              </w:rPr>
            </w:pPr>
            <w:r>
              <w:rPr>
                <w:color w:val="000000"/>
                <w:sz w:val="20"/>
              </w:rPr>
              <w:t xml:space="preserve">Under the Programme for Government, Ireland is committed to achieving a 7% annual average reduction in greenhouse gas emissions between 2021 and 2030. The NECP was drafted before the </w:t>
            </w:r>
            <w:r>
              <w:rPr>
                <w:color w:val="000000"/>
                <w:sz w:val="20"/>
              </w:rPr>
              <w:lastRenderedPageBreak/>
              <w:t xml:space="preserve">Government committed to this higher level of ambition, and therefore does not reflect this higher commitment. Ireland is currently developing those policies and measures and intends to integrate the revision of the NECP into the process which will be required for increasing the overall EU contribution under the Paris Agreement. </w:t>
            </w:r>
          </w:p>
        </w:tc>
      </w:tr>
      <w:tr w:rsidR="00B82D50" w14:paraId="4F8F62EE" w14:textId="77777777">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A8639E" w14:textId="77777777" w:rsidR="00A77B3E" w:rsidRDefault="00A77B3E">
            <w:pPr>
              <w:spacing w:before="100"/>
              <w:rPr>
                <w:color w:val="000000"/>
                <w:sz w:val="20"/>
              </w:rPr>
            </w:pPr>
          </w:p>
        </w:tc>
        <w:tc>
          <w:tcPr>
            <w:tcW w:w="8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A028D13" w14:textId="77777777" w:rsidR="00A77B3E" w:rsidRDefault="00A77B3E">
            <w:pPr>
              <w:spacing w:before="100"/>
              <w:rPr>
                <w:color w:val="000000"/>
                <w:sz w:val="20"/>
              </w:rPr>
            </w:pPr>
          </w:p>
        </w:tc>
        <w:tc>
          <w:tcPr>
            <w:tcW w:w="16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EAE23B" w14:textId="77777777" w:rsidR="00A77B3E" w:rsidRDefault="00A77B3E">
            <w:pPr>
              <w:spacing w:before="100"/>
              <w:rPr>
                <w:color w:val="000000"/>
                <w:sz w:val="20"/>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3F59A1E" w14:textId="77777777" w:rsidR="00A77B3E" w:rsidRDefault="00A77B3E">
            <w:pPr>
              <w:spacing w:before="100"/>
              <w:rPr>
                <w:color w:val="000000"/>
                <w:sz w:val="20"/>
              </w:rPr>
            </w:pPr>
          </w:p>
        </w:tc>
        <w:tc>
          <w:tcPr>
            <w:tcW w:w="28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02662F0" w14:textId="77777777" w:rsidR="00A77B3E" w:rsidRDefault="00000000">
            <w:pPr>
              <w:spacing w:before="100"/>
              <w:rPr>
                <w:color w:val="000000"/>
                <w:sz w:val="20"/>
              </w:rPr>
            </w:pPr>
            <w:r>
              <w:rPr>
                <w:color w:val="000000"/>
                <w:sz w:val="20"/>
              </w:rPr>
              <w:t xml:space="preserve">2. An outline of envisaged financial resources and mechanisms for measures promoting low-carbon energy. </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BAE7C8F" w14:textId="77777777" w:rsidR="00A77B3E" w:rsidRDefault="00000000">
            <w:pPr>
              <w:spacing w:before="100"/>
              <w:jc w:val="center"/>
              <w:rPr>
                <w:color w:val="000000"/>
                <w:sz w:val="20"/>
              </w:rPr>
            </w:pPr>
            <w:r>
              <w:rPr>
                <w:color w:val="000000"/>
                <w:sz w:val="20"/>
              </w:rPr>
              <w:t>Yes</w:t>
            </w: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ED5EF4" w14:textId="77777777" w:rsidR="00A77B3E" w:rsidRDefault="00000000">
            <w:pPr>
              <w:spacing w:before="100"/>
              <w:rPr>
                <w:color w:val="000000"/>
                <w:sz w:val="20"/>
              </w:rPr>
            </w:pPr>
            <w:r>
              <w:rPr>
                <w:color w:val="000000"/>
                <w:sz w:val="20"/>
              </w:rPr>
              <w:t>Ireland’s National Energy and Climate Plan 2021-2030</w:t>
            </w:r>
          </w:p>
          <w:p w14:paraId="40608AC9" w14:textId="77777777" w:rsidR="00A77B3E" w:rsidRDefault="00A77B3E">
            <w:pPr>
              <w:spacing w:before="100"/>
              <w:rPr>
                <w:color w:val="000000"/>
                <w:sz w:val="20"/>
              </w:rPr>
            </w:pPr>
          </w:p>
          <w:p w14:paraId="52B91A2F" w14:textId="77777777" w:rsidR="00A77B3E" w:rsidRDefault="00000000">
            <w:pPr>
              <w:spacing w:before="100"/>
              <w:rPr>
                <w:color w:val="000000"/>
                <w:sz w:val="20"/>
              </w:rPr>
            </w:pPr>
            <w:r>
              <w:rPr>
                <w:color w:val="000000"/>
                <w:sz w:val="20"/>
              </w:rPr>
              <w:t>https://www.gov.ie/en/publication/0015c-irelands-national-energy-climate-plan-2021-2030/</w:t>
            </w:r>
          </w:p>
          <w:p w14:paraId="222E5CC3" w14:textId="77777777" w:rsidR="00A77B3E" w:rsidRDefault="00A77B3E">
            <w:pPr>
              <w:spacing w:before="100"/>
              <w:rPr>
                <w:color w:val="000000"/>
                <w:sz w:val="20"/>
              </w:rPr>
            </w:pPr>
          </w:p>
          <w:p w14:paraId="67A95697" w14:textId="77777777" w:rsidR="00A77B3E" w:rsidRDefault="00000000">
            <w:pPr>
              <w:spacing w:before="100"/>
              <w:rPr>
                <w:color w:val="000000"/>
                <w:sz w:val="20"/>
              </w:rPr>
            </w:pPr>
            <w:r>
              <w:rPr>
                <w:color w:val="000000"/>
                <w:sz w:val="20"/>
              </w:rPr>
              <w:t>The renewed National Development Plan 2021-2030 (October 2021)</w:t>
            </w:r>
          </w:p>
          <w:p w14:paraId="666BD012" w14:textId="77777777" w:rsidR="00A77B3E" w:rsidRDefault="00A77B3E">
            <w:pPr>
              <w:spacing w:before="100"/>
              <w:rPr>
                <w:color w:val="000000"/>
                <w:sz w:val="20"/>
              </w:rPr>
            </w:pPr>
          </w:p>
          <w:p w14:paraId="511A2DFC" w14:textId="77777777" w:rsidR="00A77B3E" w:rsidRDefault="00000000">
            <w:pPr>
              <w:spacing w:before="100"/>
              <w:rPr>
                <w:color w:val="000000"/>
                <w:sz w:val="20"/>
              </w:rPr>
            </w:pPr>
            <w:r>
              <w:rPr>
                <w:color w:val="000000"/>
                <w:sz w:val="20"/>
              </w:rPr>
              <w:t>https://www.gov.ie/en/press-release/7ac57-government-launches-the-renewed-national-development-plan-2021-2030/</w:t>
            </w:r>
          </w:p>
          <w:p w14:paraId="74630884" w14:textId="77777777" w:rsidR="00A77B3E" w:rsidRDefault="00A77B3E">
            <w:pPr>
              <w:spacing w:before="100"/>
              <w:rPr>
                <w:color w:val="000000"/>
                <w:sz w:val="20"/>
              </w:rPr>
            </w:pPr>
          </w:p>
          <w:p w14:paraId="164AA658" w14:textId="77777777" w:rsidR="00A77B3E" w:rsidRDefault="00000000">
            <w:pPr>
              <w:spacing w:before="100"/>
              <w:rPr>
                <w:color w:val="000000"/>
                <w:sz w:val="20"/>
              </w:rPr>
            </w:pPr>
            <w:r>
              <w:rPr>
                <w:color w:val="000000"/>
                <w:sz w:val="20"/>
              </w:rPr>
              <w:t>Climate Action Plan 2021 (November 2021)</w:t>
            </w:r>
          </w:p>
          <w:p w14:paraId="48DC3125" w14:textId="77777777" w:rsidR="00A77B3E" w:rsidRDefault="00A77B3E">
            <w:pPr>
              <w:spacing w:before="100"/>
              <w:rPr>
                <w:color w:val="000000"/>
                <w:sz w:val="20"/>
              </w:rPr>
            </w:pPr>
          </w:p>
          <w:p w14:paraId="4256349A" w14:textId="77777777" w:rsidR="00A77B3E" w:rsidRDefault="00000000">
            <w:pPr>
              <w:spacing w:before="100"/>
              <w:rPr>
                <w:color w:val="000000"/>
                <w:sz w:val="20"/>
              </w:rPr>
            </w:pPr>
            <w:r>
              <w:rPr>
                <w:color w:val="000000"/>
                <w:sz w:val="20"/>
              </w:rPr>
              <w:t>https://www.gov.ie/en/publication/6223e-climate-action-plan-2021/</w:t>
            </w:r>
          </w:p>
          <w:p w14:paraId="002CE1D3" w14:textId="77777777" w:rsidR="00A77B3E" w:rsidRDefault="00A77B3E">
            <w:pPr>
              <w:spacing w:before="100"/>
              <w:rPr>
                <w:color w:val="000000"/>
                <w:sz w:val="20"/>
              </w:rPr>
            </w:pPr>
          </w:p>
        </w:tc>
        <w:tc>
          <w:tcPr>
            <w:tcW w:w="34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4E00204" w14:textId="77777777" w:rsidR="00A77B3E" w:rsidRDefault="00000000">
            <w:pPr>
              <w:spacing w:before="100"/>
              <w:rPr>
                <w:color w:val="000000"/>
                <w:sz w:val="20"/>
              </w:rPr>
            </w:pPr>
            <w:r>
              <w:rPr>
                <w:color w:val="000000"/>
                <w:sz w:val="20"/>
              </w:rPr>
              <w:t>Section 5.3 of Ireland’s National Energy and Climate Plan 2021-2030 gives an "Overview of Investment Needs" associated with delivering on goals set out in the NECP.</w:t>
            </w:r>
          </w:p>
          <w:p w14:paraId="30BA2D4B" w14:textId="77777777" w:rsidR="00A77B3E" w:rsidRDefault="00A77B3E">
            <w:pPr>
              <w:spacing w:before="100"/>
              <w:rPr>
                <w:color w:val="000000"/>
                <w:sz w:val="20"/>
              </w:rPr>
            </w:pPr>
          </w:p>
          <w:p w14:paraId="7168764D" w14:textId="77777777" w:rsidR="00A77B3E" w:rsidRDefault="00000000">
            <w:pPr>
              <w:spacing w:before="100"/>
              <w:rPr>
                <w:color w:val="000000"/>
                <w:sz w:val="20"/>
              </w:rPr>
            </w:pPr>
            <w:r>
              <w:rPr>
                <w:color w:val="000000"/>
                <w:sz w:val="20"/>
              </w:rPr>
              <w:t>The resources required to deliver on a higher level of ambition are set out in the renewed National Development Plan 2021-2030 and in the Climate Action Plan 2021.</w:t>
            </w:r>
          </w:p>
        </w:tc>
      </w:tr>
    </w:tbl>
    <w:p w14:paraId="4AD32126" w14:textId="77777777" w:rsidR="00A77B3E" w:rsidRDefault="00000000">
      <w:pPr>
        <w:pStyle w:val="Heading1"/>
        <w:spacing w:before="100" w:after="0"/>
        <w:rPr>
          <w:rFonts w:ascii="Times New Roman" w:hAnsi="Times New Roman" w:cs="Times New Roman"/>
          <w:b w:val="0"/>
          <w:color w:val="000000"/>
          <w:sz w:val="24"/>
        </w:rPr>
      </w:pPr>
      <w:r>
        <w:rPr>
          <w:rFonts w:ascii="Times New Roman" w:hAnsi="Times New Roman" w:cs="Times New Roman"/>
          <w:b w:val="0"/>
          <w:color w:val="000000"/>
          <w:sz w:val="20"/>
        </w:rPr>
        <w:br w:type="page"/>
      </w:r>
      <w:bookmarkStart w:id="136" w:name="_Toc256000293"/>
      <w:r>
        <w:rPr>
          <w:rFonts w:ascii="Times New Roman" w:hAnsi="Times New Roman" w:cs="Times New Roman"/>
          <w:b w:val="0"/>
          <w:color w:val="000000"/>
          <w:sz w:val="24"/>
        </w:rPr>
        <w:lastRenderedPageBreak/>
        <w:t>5. Programme authorities</w:t>
      </w:r>
      <w:bookmarkEnd w:id="136"/>
    </w:p>
    <w:p w14:paraId="20AB7CBB" w14:textId="77777777" w:rsidR="00A77B3E" w:rsidRDefault="00000000">
      <w:pPr>
        <w:spacing w:before="100"/>
        <w:rPr>
          <w:color w:val="000000"/>
          <w:sz w:val="0"/>
        </w:rPr>
      </w:pPr>
      <w:r>
        <w:rPr>
          <w:color w:val="000000"/>
        </w:rPr>
        <w:t>Reference: point (k) of Article 22(3) and Articles 71 and 84 CPR</w:t>
      </w:r>
    </w:p>
    <w:p w14:paraId="6DDCE82C" w14:textId="77777777" w:rsidR="00A77B3E" w:rsidRDefault="00000000">
      <w:pPr>
        <w:pStyle w:val="Heading2"/>
        <w:spacing w:before="100" w:after="0"/>
        <w:rPr>
          <w:rFonts w:ascii="TimesNewRoman" w:eastAsia="TimesNewRoman" w:hAnsi="TimesNewRoman" w:cs="TimesNewRoman"/>
          <w:b w:val="0"/>
          <w:i w:val="0"/>
          <w:color w:val="000000"/>
          <w:sz w:val="24"/>
        </w:rPr>
      </w:pPr>
      <w:bookmarkStart w:id="137" w:name="_Toc256000294"/>
      <w:r>
        <w:rPr>
          <w:rFonts w:ascii="TimesNewRoman" w:eastAsia="TimesNewRoman" w:hAnsi="TimesNewRoman" w:cs="TimesNewRoman"/>
          <w:b w:val="0"/>
          <w:i w:val="0"/>
          <w:color w:val="000000"/>
          <w:sz w:val="24"/>
        </w:rPr>
        <w:t>Table 13: Programme authorities</w:t>
      </w:r>
      <w:bookmarkEnd w:id="137"/>
    </w:p>
    <w:p w14:paraId="4EC3E2CF"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0"/>
        <w:gridCol w:w="3851"/>
        <w:gridCol w:w="1454"/>
        <w:gridCol w:w="2700"/>
        <w:gridCol w:w="2687"/>
      </w:tblGrid>
      <w:tr w:rsidR="00B82D50" w14:paraId="20ADB827" w14:textId="77777777">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E0FEBB"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Programme authorities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1993C7B"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Name of the institution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EB1E76B"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Contact name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A07B835"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Position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3295E8"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Email</w:t>
            </w:r>
          </w:p>
        </w:tc>
      </w:tr>
      <w:tr w:rsidR="00B82D50" w14:paraId="50AAD3A6"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37E85F6"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Managing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7E60761"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Southern Regional Assembly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B60C58"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David Kelly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90492B1"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Director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F7C5A8E"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dkelly@southernassembly.ie</w:t>
            </w:r>
          </w:p>
        </w:tc>
      </w:tr>
      <w:tr w:rsidR="00B82D50" w14:paraId="6B6FE83E"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4866DE2"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Audit authority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4324420"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Department of Public Expenditure, NDP Delivery, and Reform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76C7556" w14:textId="77777777" w:rsidR="00A77B3E" w:rsidRDefault="00000000">
            <w:pPr>
              <w:spacing w:before="100"/>
              <w:rPr>
                <w:rFonts w:ascii="TimesNewRoman" w:eastAsia="TimesNewRoman" w:hAnsi="TimesNewRoman" w:cs="TimesNewRoman"/>
                <w:color w:val="000000"/>
                <w:sz w:val="20"/>
              </w:rPr>
            </w:pPr>
            <w:proofErr w:type="spellStart"/>
            <w:r>
              <w:rPr>
                <w:rFonts w:ascii="TimesNewRoman" w:eastAsia="TimesNewRoman" w:hAnsi="TimesNewRoman" w:cs="TimesNewRoman"/>
                <w:color w:val="000000"/>
                <w:sz w:val="20"/>
              </w:rPr>
              <w:t>Olubusola</w:t>
            </w:r>
            <w:proofErr w:type="spellEnd"/>
            <w:r>
              <w:rPr>
                <w:rFonts w:ascii="TimesNewRoman" w:eastAsia="TimesNewRoman" w:hAnsi="TimesNewRoman" w:cs="TimesNewRoman"/>
                <w:color w:val="000000"/>
                <w:sz w:val="20"/>
              </w:rPr>
              <w:t xml:space="preserve"> Laiyemo</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6DE4BDF"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Head of Audit (Internal &amp; EU Audit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9116581"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Olubusola.Laiyemo@per.gov.ie</w:t>
            </w:r>
          </w:p>
        </w:tc>
      </w:tr>
      <w:tr w:rsidR="00B82D50" w14:paraId="0743B270"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F2D7F52"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Body which receives payments from the Commission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7A3CBD"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Department of Finance</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F78F13C"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Patrick Delaney</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DCB44B7"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Assistant Principal, Exchequer Unit</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1809FA"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exch@finance.gov.ie</w:t>
            </w:r>
          </w:p>
        </w:tc>
      </w:tr>
      <w:tr w:rsidR="00B82D50" w14:paraId="1F5973F8"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21147B"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Body (other than managing authority) carrying out the accounting function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F1B8973"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Department of Public Expenditure, NDP Delivery, and Reform</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E74E7A7"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Ruth McGrath</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5E7DA92"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ERDF Accounting Function</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AB8D1E7"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Ruth.McGrath@per.gov.ie</w:t>
            </w:r>
          </w:p>
        </w:tc>
      </w:tr>
    </w:tbl>
    <w:p w14:paraId="45C2BE0C" w14:textId="77777777" w:rsidR="00A77B3E" w:rsidRDefault="00A77B3E">
      <w:pPr>
        <w:spacing w:before="100"/>
        <w:rPr>
          <w:rFonts w:ascii="TimesNewRoman" w:eastAsia="TimesNewRoman" w:hAnsi="TimesNewRoman" w:cs="TimesNewRoman"/>
          <w:color w:val="000000"/>
          <w:sz w:val="20"/>
        </w:rPr>
      </w:pPr>
    </w:p>
    <w:p w14:paraId="5B019ABD" w14:textId="77777777" w:rsidR="00A77B3E" w:rsidRDefault="00000000">
      <w:pPr>
        <w:pStyle w:val="Heading2"/>
        <w:spacing w:before="100" w:after="0"/>
        <w:rPr>
          <w:rFonts w:ascii="TimesNewRoman" w:eastAsia="TimesNewRoman" w:hAnsi="TimesNewRoman" w:cs="TimesNewRoman"/>
          <w:b w:val="0"/>
          <w:i w:val="0"/>
          <w:color w:val="000000"/>
          <w:sz w:val="24"/>
        </w:rPr>
      </w:pPr>
      <w:bookmarkStart w:id="138" w:name="_Toc256000295"/>
      <w:r>
        <w:rPr>
          <w:rFonts w:ascii="TimesNewRoman" w:eastAsia="TimesNewRoman" w:hAnsi="TimesNewRoman" w:cs="TimesNewRoman"/>
          <w:b w:val="0"/>
          <w:i w:val="0"/>
          <w:color w:val="000000"/>
          <w:sz w:val="24"/>
        </w:rPr>
        <w:t>The repartition of the reimbursed amounts for technical assistance pursuant to Article 36(5) CPR if more bodies are identified to receive payments from the Commission</w:t>
      </w:r>
      <w:bookmarkEnd w:id="138"/>
    </w:p>
    <w:p w14:paraId="679A3054" w14:textId="77777777" w:rsidR="00A77B3E" w:rsidRDefault="00A77B3E">
      <w:pPr>
        <w:spacing w:before="100"/>
        <w:rPr>
          <w:rFonts w:ascii="TimesNewRoman" w:eastAsia="TimesNewRoman" w:hAnsi="TimesNewRoman" w:cs="TimesNewRoman"/>
          <w:color w:val="000000"/>
          <w:sz w:val="0"/>
        </w:rPr>
      </w:pPr>
    </w:p>
    <w:p w14:paraId="213D076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Reference: Article 22(3) CPR</w:t>
      </w:r>
    </w:p>
    <w:p w14:paraId="3D51715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Table 13A: The portion of the percentages set out in point (b) of Article 36(5) CPR that would be reimbursed to the bodies which receive payments from the Commission in case of technical assistance pursuant to Article 36(5) CPR (in percentage points)</w:t>
      </w:r>
    </w:p>
    <w:p w14:paraId="7876645B" w14:textId="77777777" w:rsidR="00A77B3E" w:rsidRDefault="00A77B3E">
      <w:pPr>
        <w:spacing w:before="100"/>
        <w:rPr>
          <w:rFonts w:ascii="TimesNewRoman" w:eastAsia="TimesNewRoman" w:hAnsi="TimesNewRoman" w:cs="TimesNewRoman"/>
          <w:color w:val="000000"/>
          <w:sz w:val="12"/>
        </w:rPr>
      </w:pPr>
    </w:p>
    <w:p w14:paraId="70F4EF04" w14:textId="77777777" w:rsidR="00A77B3E" w:rsidRDefault="00A77B3E">
      <w:pPr>
        <w:spacing w:before="100"/>
        <w:rPr>
          <w:rFonts w:ascii="TimesNewRoman" w:eastAsia="TimesNewRoman" w:hAnsi="TimesNewRoman" w:cs="TimesNewRoman"/>
          <w:color w:val="000000"/>
        </w:rPr>
        <w:sectPr w:rsidR="00A77B3E">
          <w:headerReference w:type="even" r:id="rId31"/>
          <w:headerReference w:type="default" r:id="rId32"/>
          <w:footerReference w:type="even" r:id="rId33"/>
          <w:footerReference w:type="default" r:id="rId34"/>
          <w:headerReference w:type="first" r:id="rId35"/>
          <w:footerReference w:type="first" r:id="rId36"/>
          <w:pgSz w:w="16838" w:h="11906" w:orient="landscape"/>
          <w:pgMar w:top="720" w:right="720" w:bottom="864" w:left="936" w:header="288" w:footer="72" w:gutter="0"/>
          <w:cols w:space="708"/>
          <w:noEndnote/>
          <w:docGrid w:linePitch="360"/>
        </w:sectPr>
      </w:pPr>
    </w:p>
    <w:p w14:paraId="7F82654F" w14:textId="77777777" w:rsidR="00A77B3E" w:rsidRDefault="00000000">
      <w:pPr>
        <w:pStyle w:val="Heading1"/>
        <w:spacing w:before="100" w:after="0"/>
        <w:rPr>
          <w:rFonts w:ascii="TimesNewRoman" w:eastAsia="TimesNewRoman" w:hAnsi="TimesNewRoman" w:cs="TimesNewRoman"/>
          <w:b w:val="0"/>
          <w:color w:val="000000"/>
          <w:sz w:val="24"/>
        </w:rPr>
      </w:pPr>
      <w:bookmarkStart w:id="139" w:name="_Toc256000296"/>
      <w:r>
        <w:rPr>
          <w:rFonts w:ascii="TimesNewRoman" w:eastAsia="TimesNewRoman" w:hAnsi="TimesNewRoman" w:cs="TimesNewRoman"/>
          <w:b w:val="0"/>
          <w:color w:val="000000"/>
          <w:sz w:val="24"/>
        </w:rPr>
        <w:lastRenderedPageBreak/>
        <w:t>6. Partnership</w:t>
      </w:r>
      <w:bookmarkEnd w:id="139"/>
    </w:p>
    <w:p w14:paraId="48758774"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rPr>
        <w:t>Reference: point (h) of Article 22(3) CPR</w:t>
      </w:r>
    </w:p>
    <w:p w14:paraId="5FDA3B70"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53D11FB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2730C5" w14:textId="77777777" w:rsidR="00A77B3E" w:rsidRDefault="00A77B3E">
            <w:pPr>
              <w:spacing w:before="100"/>
              <w:rPr>
                <w:rFonts w:ascii="TimesNewRoman" w:eastAsia="TimesNewRoman" w:hAnsi="TimesNewRoman" w:cs="TimesNewRoman"/>
                <w:color w:val="000000"/>
                <w:sz w:val="0"/>
              </w:rPr>
            </w:pPr>
          </w:p>
          <w:p w14:paraId="4486E3C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Programme was prepared with input from a wide range of partners/stakeholders across both the of the </w:t>
            </w:r>
            <w:proofErr w:type="spellStart"/>
            <w:r>
              <w:rPr>
                <w:rFonts w:ascii="TimesNewRoman" w:eastAsia="TimesNewRoman" w:hAnsi="TimesNewRoman" w:cs="TimesNewRoman"/>
                <w:color w:val="000000"/>
              </w:rPr>
              <w:t>programme’s</w:t>
            </w:r>
            <w:proofErr w:type="spellEnd"/>
            <w:r>
              <w:rPr>
                <w:rFonts w:ascii="TimesNewRoman" w:eastAsia="TimesNewRoman" w:hAnsi="TimesNewRoman" w:cs="TimesNewRoman"/>
                <w:color w:val="000000"/>
              </w:rPr>
              <w:t xml:space="preserve"> regions, in compliance with Article 22(3)(h) of the CPR. The selection of partners involved in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preparation was based on the identification of appropriate partners/stakeholders from each of the relevant partners listed in Article 8(1).</w:t>
            </w:r>
          </w:p>
          <w:p w14:paraId="05DD7748" w14:textId="77777777" w:rsidR="00A77B3E" w:rsidRDefault="00A77B3E">
            <w:pPr>
              <w:spacing w:before="100"/>
              <w:rPr>
                <w:rFonts w:ascii="TimesNewRoman" w:eastAsia="TimesNewRoman" w:hAnsi="TimesNewRoman" w:cs="TimesNewRoman"/>
                <w:color w:val="000000"/>
              </w:rPr>
            </w:pPr>
          </w:p>
          <w:p w14:paraId="1C35AFCB" w14:textId="77777777" w:rsidR="00A77B3E" w:rsidRDefault="00A77B3E">
            <w:pPr>
              <w:spacing w:before="100"/>
              <w:rPr>
                <w:rFonts w:ascii="TimesNewRoman" w:eastAsia="TimesNewRoman" w:hAnsi="TimesNewRoman" w:cs="TimesNewRoman"/>
                <w:color w:val="000000"/>
              </w:rPr>
            </w:pPr>
          </w:p>
          <w:p w14:paraId="52A5BFC8"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Role of Relevant Partners in Programme Preparation</w:t>
            </w:r>
          </w:p>
          <w:p w14:paraId="3BBB4EF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Relevant partners/stakeholders fully participated in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preparation. A series of partnership structures, operating in accordance with the European Code of Conduct on Partnership and Art 8 of the CPR in relation to partnership and multi-level governance, were key to delivering the preparation stage. A series of specific preparation actions took place from 2020-22 in overlapping steps.</w:t>
            </w:r>
          </w:p>
          <w:p w14:paraId="1BD16ED7" w14:textId="77777777" w:rsidR="00A77B3E" w:rsidRDefault="00A77B3E">
            <w:pPr>
              <w:spacing w:before="100"/>
              <w:rPr>
                <w:rFonts w:ascii="TimesNewRoman" w:eastAsia="TimesNewRoman" w:hAnsi="TimesNewRoman" w:cs="TimesNewRoman"/>
                <w:color w:val="000000"/>
              </w:rPr>
            </w:pPr>
          </w:p>
          <w:p w14:paraId="4C95F36A"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National Partnership Structures</w:t>
            </w:r>
          </w:p>
          <w:p w14:paraId="2FA80406"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Coordination between the Funds ensures strong synergies between co-financed interventions, resulting in reduced administrative cost and burden. Ireland created structures to ensure coordination between the Funds and other EU and national instruments, involving key bodies at EU, national, regional and local levels. These structures will remain in place for implementation.</w:t>
            </w:r>
          </w:p>
          <w:p w14:paraId="5BAF1DD7" w14:textId="77777777" w:rsidR="00A77B3E" w:rsidRDefault="00A77B3E">
            <w:pPr>
              <w:spacing w:before="100"/>
              <w:rPr>
                <w:rFonts w:ascii="TimesNewRoman" w:eastAsia="TimesNewRoman" w:hAnsi="TimesNewRoman" w:cs="TimesNewRoman"/>
                <w:color w:val="000000"/>
              </w:rPr>
            </w:pPr>
          </w:p>
          <w:p w14:paraId="68189BC4" w14:textId="77777777" w:rsidR="00A77B3E" w:rsidRDefault="00000000">
            <w:pPr>
              <w:numPr>
                <w:ilvl w:val="0"/>
                <w:numId w:val="8"/>
              </w:num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Partnership Process Steering Group of the Funds (PPSG)</w:t>
            </w:r>
            <w:r>
              <w:rPr>
                <w:rFonts w:ascii="TimesNewRoman" w:eastAsia="TimesNewRoman" w:hAnsi="TimesNewRoman" w:cs="TimesNewRoman"/>
                <w:color w:val="000000"/>
              </w:rPr>
              <w:t xml:space="preserve">: a national PPSG was established to assist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authorities in developing the Partnership Agreement, including identifying and putting in place mechanisms to address synergies, complementarities and enhance cooperation across programmes. The PPSG includes representatives from Member State, the funds and responsible government department, economic and social partners, bodies promoting social inclusion; fundamental rights, rights of persons with disabilities, gender equality and non-discrimination, and relevant bodies representing civil society, the Common Agricultural Policy, the Recovery &amp; Resilience Plan, and the Brexit Adjustment Reserve.</w:t>
            </w:r>
          </w:p>
          <w:p w14:paraId="131CA62B" w14:textId="77777777" w:rsidR="00A77B3E" w:rsidRDefault="00A77B3E">
            <w:pPr>
              <w:spacing w:before="100"/>
              <w:rPr>
                <w:rFonts w:ascii="TimesNewRoman" w:eastAsia="TimesNewRoman" w:hAnsi="TimesNewRoman" w:cs="TimesNewRoman"/>
                <w:color w:val="000000"/>
              </w:rPr>
            </w:pPr>
          </w:p>
          <w:p w14:paraId="4D1F6BAE" w14:textId="77777777" w:rsidR="00A77B3E" w:rsidRDefault="00000000">
            <w:pPr>
              <w:numPr>
                <w:ilvl w:val="0"/>
                <w:numId w:val="9"/>
              </w:num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Partnership Agreement Working Group (PAWG)</w:t>
            </w:r>
            <w:r>
              <w:rPr>
                <w:rFonts w:ascii="TimesNewRoman" w:eastAsia="TimesNewRoman" w:hAnsi="TimesNewRoman" w:cs="TimesNewRoman"/>
                <w:color w:val="000000"/>
              </w:rPr>
              <w:t xml:space="preserve">: reporting to the PPSG, the PAWG comprised fund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authorities to assist with drafting and coordinating timelines for the purposes of the Partnership Agreement. It was instrumental in developing a common approach to the horizontal principles by identifying possible synergies/complementarities across the funds and other EU instruments. This group met regularly during the preparation phase, and it is proposed that it could continue to examine challenges of managing bodies in developing complementarities between actions and facilitate peer to peer learning between funds.</w:t>
            </w:r>
          </w:p>
          <w:p w14:paraId="4972C48F" w14:textId="77777777" w:rsidR="00A77B3E" w:rsidRDefault="00A77B3E">
            <w:pPr>
              <w:spacing w:before="100"/>
              <w:rPr>
                <w:rFonts w:ascii="TimesNewRoman" w:eastAsia="TimesNewRoman" w:hAnsi="TimesNewRoman" w:cs="TimesNewRoman"/>
                <w:color w:val="000000"/>
              </w:rPr>
            </w:pPr>
          </w:p>
          <w:p w14:paraId="52EB6D54" w14:textId="77777777" w:rsidR="00A77B3E" w:rsidRDefault="00A77B3E">
            <w:pPr>
              <w:spacing w:before="100"/>
              <w:rPr>
                <w:rFonts w:ascii="TimesNewRoman" w:eastAsia="TimesNewRoman" w:hAnsi="TimesNewRoman" w:cs="TimesNewRoman"/>
                <w:color w:val="000000"/>
              </w:rPr>
            </w:pPr>
          </w:p>
          <w:p w14:paraId="2CCDFF04"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Programme Preparation Activities</w:t>
            </w:r>
          </w:p>
          <w:p w14:paraId="75BD0B93"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Managing Authority engaged with relevant partners during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preparation stage in a transparent and effective way. Consultation of partners followed several steps and processes from 2020-22, involving a needs analysis, review of public policy, meetings, workshops, questionnaires, public consultations and updates on progress. Documentation was circulated to members of the PPSG and the PAWG, notices of public consultation and consultation reports were published on the website www.eufunds.ie with links from the websites of the Managing Authorities as part of the public consultation below. The output of these actions served as inputs, informing the shape of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w:t>
            </w:r>
          </w:p>
          <w:p w14:paraId="7071FF69" w14:textId="77777777" w:rsidR="00A77B3E" w:rsidRDefault="00A77B3E">
            <w:pPr>
              <w:spacing w:before="100"/>
              <w:rPr>
                <w:rFonts w:ascii="TimesNewRoman" w:eastAsia="TimesNewRoman" w:hAnsi="TimesNewRoman" w:cs="TimesNewRoman"/>
                <w:color w:val="000000"/>
              </w:rPr>
            </w:pPr>
          </w:p>
          <w:p w14:paraId="60604678" w14:textId="77777777" w:rsidR="00A77B3E" w:rsidRDefault="00A77B3E">
            <w:pPr>
              <w:spacing w:before="100"/>
              <w:rPr>
                <w:rFonts w:ascii="TimesNewRoman" w:eastAsia="TimesNewRoman" w:hAnsi="TimesNewRoman" w:cs="TimesNewRoman"/>
                <w:color w:val="000000"/>
              </w:rPr>
            </w:pPr>
          </w:p>
          <w:p w14:paraId="687C5603"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Partnership Agreement Needs Analysis, 2020</w:t>
            </w:r>
          </w:p>
          <w:p w14:paraId="04FCAAE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An independent needs analysis was completed in June 2020 for ERDF and ESF+ to assess the needs which could be addressed by Cohesion Funding through these funds. The report helped underpin planning for Ireland’s Partnership Agreement 2021-27 and provide strategic choices for the use of ERDF and ESF+. It comprised a review of the EU and national policy context and a detailed examination of the baseline situation, including evidence on research and innovation, competitiveness and growth, </w:t>
            </w:r>
            <w:proofErr w:type="spellStart"/>
            <w:r>
              <w:rPr>
                <w:rFonts w:ascii="TimesNewRoman" w:eastAsia="TimesNewRoman" w:hAnsi="TimesNewRoman" w:cs="TimesNewRoman"/>
                <w:color w:val="000000"/>
              </w:rPr>
              <w:t>digitalisation</w:t>
            </w:r>
            <w:proofErr w:type="spellEnd"/>
            <w:r>
              <w:rPr>
                <w:rFonts w:ascii="TimesNewRoman" w:eastAsia="TimesNewRoman" w:hAnsi="TimesNewRoman" w:cs="TimesNewRoman"/>
                <w:color w:val="000000"/>
              </w:rPr>
              <w:t xml:space="preserve">, green economy, employment, education &amp; skills, and childcare. It also identified social groups most affected by poverty or at risk of social exclusion. It assessed Ireland’s regional situation, including the three RSES and took account of Brexit and COVID-19. 49 </w:t>
            </w:r>
            <w:proofErr w:type="spellStart"/>
            <w:r>
              <w:rPr>
                <w:rFonts w:ascii="TimesNewRoman" w:eastAsia="TimesNewRoman" w:hAnsi="TimesNewRoman" w:cs="TimesNewRoman"/>
                <w:color w:val="000000"/>
              </w:rPr>
              <w:t>organisations</w:t>
            </w:r>
            <w:proofErr w:type="spellEnd"/>
            <w:r>
              <w:rPr>
                <w:rFonts w:ascii="TimesNewRoman" w:eastAsia="TimesNewRoman" w:hAnsi="TimesNewRoman" w:cs="TimesNewRoman"/>
                <w:color w:val="000000"/>
              </w:rPr>
              <w:t xml:space="preserve"> from the partners/ stakeholder categories were consulted as part of the process resulting in 36 formal written responses which resulted in identifying ten priority areas for the funds.</w:t>
            </w:r>
          </w:p>
          <w:p w14:paraId="6C3606E9" w14:textId="77777777" w:rsidR="00A77B3E" w:rsidRDefault="00A77B3E">
            <w:pPr>
              <w:spacing w:before="100"/>
              <w:rPr>
                <w:rFonts w:ascii="TimesNewRoman" w:eastAsia="TimesNewRoman" w:hAnsi="TimesNewRoman" w:cs="TimesNewRoman"/>
                <w:color w:val="000000"/>
              </w:rPr>
            </w:pPr>
          </w:p>
          <w:p w14:paraId="6FB3F70D"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Public Consultation, June 2020 – September 2020</w:t>
            </w:r>
          </w:p>
          <w:p w14:paraId="6619A8D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Departments of Public Expenditure and Reform, and of Education &amp; Skills and the Regional Assemblies commissioned an independent public consultation process in 2020 to prepare for the Partnership Agreement and Programmes. A key objective was to ensure public/stakeholders had an opportunity to shape cohesion policy in Ireland and to enhance the visibility of the funds and their support to Irish life. The consultation was built around three actions:</w:t>
            </w:r>
          </w:p>
          <w:p w14:paraId="016EB7A5" w14:textId="77777777" w:rsidR="00A77B3E" w:rsidRDefault="00000000">
            <w:pPr>
              <w:numPr>
                <w:ilvl w:val="0"/>
                <w:numId w:val="10"/>
              </w:num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Needs Analysis Report:</w:t>
            </w:r>
            <w:r>
              <w:rPr>
                <w:rFonts w:ascii="TimesNewRoman" w:eastAsia="TimesNewRoman" w:hAnsi="TimesNewRoman" w:cs="TimesNewRoman"/>
                <w:color w:val="000000"/>
              </w:rPr>
              <w:t xml:space="preserve"> detailed assessment of the policy landscape and the funding investment priorities 2021-27, based on needs and cohesion goals in a socio-economic context,</w:t>
            </w:r>
          </w:p>
          <w:p w14:paraId="0F87D444" w14:textId="77777777" w:rsidR="00A77B3E" w:rsidRDefault="00000000">
            <w:pPr>
              <w:numPr>
                <w:ilvl w:val="0"/>
                <w:numId w:val="10"/>
              </w:num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National and Regional Workshop Event:</w:t>
            </w:r>
            <w:r>
              <w:rPr>
                <w:rFonts w:ascii="TimesNewRoman" w:eastAsia="TimesNewRoman" w:hAnsi="TimesNewRoman" w:cs="TimesNewRoman"/>
                <w:color w:val="000000"/>
              </w:rPr>
              <w:t xml:space="preserve"> online public consultation workshop on 28th July 2020 with over 100 attendees - presenting the funds, three regional interactive discussion groups, and a live poll on the priorities against the Needs Analysis,</w:t>
            </w:r>
          </w:p>
          <w:p w14:paraId="68E6E555" w14:textId="77777777" w:rsidR="00A77B3E" w:rsidRDefault="00000000">
            <w:pPr>
              <w:numPr>
                <w:ilvl w:val="0"/>
                <w:numId w:val="10"/>
              </w:num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Public Consultation Survey: </w:t>
            </w:r>
            <w:r>
              <w:rPr>
                <w:rFonts w:ascii="TimesNewRoman" w:eastAsia="TimesNewRoman" w:hAnsi="TimesNewRoman" w:cs="TimesNewRoman"/>
                <w:color w:val="000000"/>
              </w:rPr>
              <w:t xml:space="preserve">13th July-4th Sept 2020 with a detailed survey and submission framework. 109 submissions were received from all sectors and </w:t>
            </w:r>
            <w:proofErr w:type="spellStart"/>
            <w:r>
              <w:rPr>
                <w:rFonts w:ascii="TimesNewRoman" w:eastAsia="TimesNewRoman" w:hAnsi="TimesNewRoman" w:cs="TimesNewRoman"/>
                <w:color w:val="000000"/>
              </w:rPr>
              <w:t>analysed</w:t>
            </w:r>
            <w:proofErr w:type="spellEnd"/>
            <w:r>
              <w:rPr>
                <w:rFonts w:ascii="TimesNewRoman" w:eastAsia="TimesNewRoman" w:hAnsi="TimesNewRoman" w:cs="TimesNewRoman"/>
                <w:color w:val="000000"/>
              </w:rPr>
              <w:t xml:space="preserve"> against several areas of enquiry, including a specific focus on regional needs.</w:t>
            </w:r>
          </w:p>
          <w:p w14:paraId="7CF8CECC" w14:textId="77777777" w:rsidR="00A77B3E" w:rsidRDefault="00A77B3E">
            <w:pPr>
              <w:spacing w:before="100"/>
              <w:rPr>
                <w:rFonts w:ascii="TimesNewRoman" w:eastAsia="TimesNewRoman" w:hAnsi="TimesNewRoman" w:cs="TimesNewRoman"/>
                <w:color w:val="000000"/>
              </w:rPr>
            </w:pPr>
          </w:p>
          <w:p w14:paraId="70225341"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Relevant Stakeholder Scoping, 2020-2022</w:t>
            </w:r>
          </w:p>
          <w:p w14:paraId="6FE0DB3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This involved engagement with relevant public bodies, such as government departments and state agencies, to identify initial policy and action alignment with the ERDF programmes for 2021-27. This process involved meetings with each public body and a questionnaire to determine possible synergies and opportunities for ERDF to enhance current national activities. It also involved presentations and discussions with members of the national steering group for Local Authority </w:t>
            </w:r>
            <w:proofErr w:type="spellStart"/>
            <w:r>
              <w:rPr>
                <w:rFonts w:ascii="TimesNewRoman" w:eastAsia="TimesNewRoman" w:hAnsi="TimesNewRoman" w:cs="TimesNewRoman"/>
                <w:color w:val="000000"/>
              </w:rPr>
              <w:t>Decarbonisation</w:t>
            </w:r>
            <w:proofErr w:type="spellEnd"/>
            <w:r>
              <w:rPr>
                <w:rFonts w:ascii="TimesNewRoman" w:eastAsia="TimesNewRoman" w:hAnsi="TimesNewRoman" w:cs="TimesNewRoman"/>
                <w:color w:val="000000"/>
              </w:rPr>
              <w:t xml:space="preserve"> Zones (DZs) on a selection of proposed actions. This group had representation from the CCMA, the Climate Action Regional Offices, the SEAI, the Office of the Planning Regulator, the Regional Assemblies and the Department of the Environment, Climate and Communications.</w:t>
            </w:r>
          </w:p>
          <w:p w14:paraId="2047083B" w14:textId="77777777" w:rsidR="00A77B3E" w:rsidRDefault="00A77B3E">
            <w:pPr>
              <w:spacing w:before="100"/>
              <w:rPr>
                <w:rFonts w:ascii="TimesNewRoman" w:eastAsia="TimesNewRoman" w:hAnsi="TimesNewRoman" w:cs="TimesNewRoman"/>
                <w:color w:val="000000"/>
              </w:rPr>
            </w:pPr>
          </w:p>
          <w:p w14:paraId="60136FE9"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Assembly Meetings 2020 - 2022</w:t>
            </w:r>
          </w:p>
          <w:p w14:paraId="64B92B7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Regional Programme 2021-2027 was a recurring agenda item at Assembly Meetings. This ensured that the locally elected representatives that comprise the two Regional Assemblies could receive updates on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development and provide input on the preparation of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w:t>
            </w:r>
          </w:p>
          <w:p w14:paraId="2EC63F31" w14:textId="77777777" w:rsidR="00A77B3E" w:rsidRDefault="00A77B3E">
            <w:pPr>
              <w:spacing w:before="100"/>
              <w:rPr>
                <w:rFonts w:ascii="TimesNewRoman" w:eastAsia="TimesNewRoman" w:hAnsi="TimesNewRoman" w:cs="TimesNewRoman"/>
                <w:color w:val="000000"/>
              </w:rPr>
            </w:pPr>
          </w:p>
          <w:p w14:paraId="0672FA0B"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Complementarities Workshop &amp; Report, April, November and December 2021</w:t>
            </w:r>
          </w:p>
          <w:p w14:paraId="03EF372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A series of complementarities workshop took place where the CPR funds and other EU programmes discussed the main themes of their programmes to identify possible complementarities. The funds </w:t>
            </w:r>
            <w:r>
              <w:rPr>
                <w:rFonts w:ascii="TimesNewRoman" w:eastAsia="TimesNewRoman" w:hAnsi="TimesNewRoman" w:cs="TimesNewRoman"/>
                <w:color w:val="000000"/>
              </w:rPr>
              <w:lastRenderedPageBreak/>
              <w:t>discussed how they could work together to achieve common goals and mitigate against double funding. A report was drafted with an outline of the issues raised and next steps.</w:t>
            </w:r>
          </w:p>
          <w:p w14:paraId="0B23FE75" w14:textId="77777777" w:rsidR="00A77B3E" w:rsidRDefault="00A77B3E">
            <w:pPr>
              <w:spacing w:before="100"/>
              <w:rPr>
                <w:rFonts w:ascii="TimesNewRoman" w:eastAsia="TimesNewRoman" w:hAnsi="TimesNewRoman" w:cs="TimesNewRoman"/>
                <w:color w:val="000000"/>
              </w:rPr>
            </w:pPr>
          </w:p>
          <w:p w14:paraId="7EE58AD1"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Horizontal Enabling Conditions Engagement, 2021</w:t>
            </w:r>
          </w:p>
          <w:p w14:paraId="470B7C9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Funds worked closely with IHREC on the development of new guidance tool to strengthen the institutional capacity of Intermediate Bodies and Beneficiaries in advancing equality and human rights during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implementation.</w:t>
            </w:r>
          </w:p>
          <w:p w14:paraId="1EB7B90C" w14:textId="77777777" w:rsidR="00A77B3E" w:rsidRDefault="00A77B3E">
            <w:pPr>
              <w:spacing w:before="100"/>
              <w:rPr>
                <w:rFonts w:ascii="TimesNewRoman" w:eastAsia="TimesNewRoman" w:hAnsi="TimesNewRoman" w:cs="TimesNewRoman"/>
                <w:color w:val="000000"/>
              </w:rPr>
            </w:pPr>
          </w:p>
          <w:p w14:paraId="0942D56F"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Strategic Environmental Assessment (SEA) &amp; Public Consultation, 2022</w:t>
            </w:r>
          </w:p>
          <w:p w14:paraId="6402AF2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In 2022, the MA commissioned an SEA of the Programme to evaluate the environment consequences of proposed plans/schemes, to ensure environmental issues are fully integrated and addressed at the earliest appropriate stage of decision making. Conducted in line with national and EU guidelines and legislation, the process includes two stage of consultation with the public and relevant statutory bodies.</w:t>
            </w:r>
          </w:p>
          <w:p w14:paraId="56067556" w14:textId="77777777" w:rsidR="00A77B3E" w:rsidRDefault="00A77B3E">
            <w:pPr>
              <w:spacing w:before="100"/>
              <w:rPr>
                <w:rFonts w:ascii="TimesNewRoman" w:eastAsia="TimesNewRoman" w:hAnsi="TimesNewRoman" w:cs="TimesNewRoman"/>
                <w:color w:val="000000"/>
              </w:rPr>
            </w:pPr>
          </w:p>
          <w:p w14:paraId="50D03BFC"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Role of Relevant Partners in Programme Implementation, Monitoring, Reporting &amp; Evaluation</w:t>
            </w:r>
          </w:p>
          <w:p w14:paraId="5F9A00E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Partnership is a key element at all stages of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implementation, including monitoring, reporting, communication and evaluation. Many of the relevant partners/stakeholders who were involved at the preparation stage will be actively engaged with the MA in the implementation stage. Some relevant public bodies, such as Government Departments and state agencies, will be directly involved in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delivery and other partners/stakeholders will be intervention beneficiaries, as appropriate. A performance framework has been established, as per Article 17 of the CPR, to allow for transparent monitoring, reporting &amp; evaluating of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performance to ensure successful delivery of targets. The relevant partners/stakeholders will be consulted, as appropriate, in relation to the delivery of the performance framework. Technical assistance will be used to support the strengthening of the institutional capacity of partners, including, for example, training and development activities.</w:t>
            </w:r>
          </w:p>
          <w:p w14:paraId="3222376D" w14:textId="77777777" w:rsidR="00A77B3E" w:rsidRDefault="00A77B3E">
            <w:pPr>
              <w:spacing w:before="100"/>
              <w:rPr>
                <w:rFonts w:ascii="TimesNewRoman" w:eastAsia="TimesNewRoman" w:hAnsi="TimesNewRoman" w:cs="TimesNewRoman"/>
                <w:color w:val="000000"/>
              </w:rPr>
            </w:pPr>
          </w:p>
          <w:p w14:paraId="65B51455"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Programme Monitoring Committee (MC)</w:t>
            </w:r>
          </w:p>
          <w:p w14:paraId="6ED9E28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partnership principle and the European Code of Conduct on Partnership will be reflected in both the MC’s membership and adopted rules of procedure. Gender balance will be promoted on the MC. Membership, which will be published on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website, will include representatives from:</w:t>
            </w:r>
          </w:p>
          <w:p w14:paraId="37D38911"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Member State (DPER),</w:t>
            </w:r>
          </w:p>
          <w:p w14:paraId="493E241F"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Regional, local, national, and other relevant public authorities, including those responsible for implementation and Government Departments representing the horizontal principles,</w:t>
            </w:r>
          </w:p>
          <w:p w14:paraId="6FFC9605"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Elected Representatives at regional level,</w:t>
            </w:r>
          </w:p>
          <w:p w14:paraId="48143913"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Representatives from other EU shared management funds in Ireland,</w:t>
            </w:r>
          </w:p>
          <w:p w14:paraId="4ADE6019"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Economic and social partners,</w:t>
            </w:r>
          </w:p>
          <w:p w14:paraId="501982E3"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Bodies representing civil society - environmental partners, non-governmental </w:t>
            </w:r>
            <w:proofErr w:type="spellStart"/>
            <w:r>
              <w:rPr>
                <w:rFonts w:ascii="TimesNewRoman" w:eastAsia="TimesNewRoman" w:hAnsi="TimesNewRoman" w:cs="TimesNewRoman"/>
                <w:color w:val="000000"/>
              </w:rPr>
              <w:t>organisations</w:t>
            </w:r>
            <w:proofErr w:type="spellEnd"/>
            <w:r>
              <w:rPr>
                <w:rFonts w:ascii="TimesNewRoman" w:eastAsia="TimesNewRoman" w:hAnsi="TimesNewRoman" w:cs="TimesNewRoman"/>
                <w:color w:val="000000"/>
              </w:rPr>
              <w:t>, and bodies responsible for promoting social inclusion, fundamental rights, rights of persons with disabilities, gender equality and non-discrimination,</w:t>
            </w:r>
          </w:p>
          <w:p w14:paraId="7DBF1634"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Research </w:t>
            </w:r>
            <w:proofErr w:type="spellStart"/>
            <w:r>
              <w:rPr>
                <w:rFonts w:ascii="TimesNewRoman" w:eastAsia="TimesNewRoman" w:hAnsi="TimesNewRoman" w:cs="TimesNewRoman"/>
                <w:color w:val="000000"/>
              </w:rPr>
              <w:t>organisations</w:t>
            </w:r>
            <w:proofErr w:type="spellEnd"/>
            <w:r>
              <w:rPr>
                <w:rFonts w:ascii="TimesNewRoman" w:eastAsia="TimesNewRoman" w:hAnsi="TimesNewRoman" w:cs="TimesNewRoman"/>
                <w:color w:val="000000"/>
              </w:rPr>
              <w:t xml:space="preserve"> and academic institutions,</w:t>
            </w:r>
          </w:p>
          <w:p w14:paraId="26C3BDA1" w14:textId="77777777" w:rsidR="00A77B3E" w:rsidRDefault="00000000">
            <w:pPr>
              <w:numPr>
                <w:ilvl w:val="0"/>
                <w:numId w:val="11"/>
              </w:numPr>
              <w:spacing w:before="100"/>
              <w:rPr>
                <w:rFonts w:ascii="TimesNewRoman" w:eastAsia="TimesNewRoman" w:hAnsi="TimesNewRoman" w:cs="TimesNewRoman"/>
                <w:color w:val="000000"/>
              </w:rPr>
            </w:pPr>
            <w:r>
              <w:rPr>
                <w:rFonts w:ascii="TimesNewRoman" w:eastAsia="TimesNewRoman" w:hAnsi="TimesNewRoman" w:cs="TimesNewRoman"/>
                <w:color w:val="000000"/>
              </w:rPr>
              <w:t>European Commission (in an advisory capacity).</w:t>
            </w:r>
          </w:p>
          <w:p w14:paraId="3E4EA354" w14:textId="77777777" w:rsidR="00A77B3E" w:rsidRDefault="00A77B3E">
            <w:pPr>
              <w:spacing w:before="100"/>
              <w:rPr>
                <w:rFonts w:ascii="TimesNewRoman" w:eastAsia="TimesNewRoman" w:hAnsi="TimesNewRoman" w:cs="TimesNewRoman"/>
                <w:color w:val="000000"/>
              </w:rPr>
            </w:pPr>
          </w:p>
          <w:p w14:paraId="69DC9F2F"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A shadow Monitoring Committee was established in April 2022 and reflects the above membership requirements.</w:t>
            </w:r>
          </w:p>
          <w:p w14:paraId="4FD3CDD4" w14:textId="77777777" w:rsidR="00A77B3E" w:rsidRDefault="00A77B3E">
            <w:pPr>
              <w:spacing w:before="100"/>
              <w:rPr>
                <w:rFonts w:ascii="TimesNewRoman" w:eastAsia="TimesNewRoman" w:hAnsi="TimesNewRoman" w:cs="TimesNewRoman"/>
                <w:color w:val="000000"/>
              </w:rPr>
            </w:pPr>
          </w:p>
          <w:p w14:paraId="0B8C0C3F"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The MC will meet at least once yearly to examine and make recommendations on all issues affecting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implementation, progress in achieving milestones and targets and measures taken to address issues, including relevant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contributions to Ireland’s country-specific recommendations, elements of the ex-ante assessments, evaluations and follow up to associated findings, progress on implementation of communications and visibility actions and implementing operations of strategic importance, actions to ensure fulfilment of enabling conditions, progress in administrative capacity-building for public bodies, partners, and beneficiaries, as relevant.</w:t>
            </w:r>
          </w:p>
          <w:p w14:paraId="16BE7247" w14:textId="77777777" w:rsidR="00A77B3E" w:rsidRDefault="00A77B3E">
            <w:pPr>
              <w:spacing w:before="100"/>
              <w:rPr>
                <w:rFonts w:ascii="TimesNewRoman" w:eastAsia="TimesNewRoman" w:hAnsi="TimesNewRoman" w:cs="TimesNewRoman"/>
                <w:color w:val="000000"/>
              </w:rPr>
            </w:pPr>
          </w:p>
          <w:p w14:paraId="2332D9C6"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MA will submit a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evaluation plan to the MC within a year of approval. Similarly, a mechanism for reporting to the MC cases of non-compliance of supported operations with the Charter of Fundamental Rights of the EU will be put in place to ensure enabling conditions remain considered and respected during implementation.</w:t>
            </w:r>
          </w:p>
          <w:p w14:paraId="70D93B72" w14:textId="77777777" w:rsidR="00A77B3E" w:rsidRDefault="00A77B3E">
            <w:pPr>
              <w:spacing w:before="100"/>
              <w:rPr>
                <w:rFonts w:ascii="TimesNewRoman" w:eastAsia="TimesNewRoman" w:hAnsi="TimesNewRoman" w:cs="TimesNewRoman"/>
                <w:color w:val="000000"/>
              </w:rPr>
            </w:pPr>
          </w:p>
          <w:p w14:paraId="58CA7F4C" w14:textId="77777777" w:rsidR="00A77B3E" w:rsidRDefault="00A77B3E">
            <w:pPr>
              <w:spacing w:before="100"/>
              <w:rPr>
                <w:rFonts w:ascii="TimesNewRoman" w:eastAsia="TimesNewRoman" w:hAnsi="TimesNewRoman" w:cs="TimesNewRoman"/>
                <w:color w:val="000000"/>
              </w:rPr>
            </w:pPr>
          </w:p>
          <w:p w14:paraId="6B825C40"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Partnership Agreement Monitoring Committee (PAMC)</w:t>
            </w:r>
          </w:p>
          <w:p w14:paraId="0319F4B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PAMC will oversee the implementation of the Partnership Agreement, with membership aligned to Article 8 of the CPR. It will assist the fund and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authorities and put in place, where necessary, appropriate systems to address cooperation, complementarity, subsidiarity and implementation issues between the funds and programmes and other EU instruments.</w:t>
            </w:r>
          </w:p>
          <w:p w14:paraId="15CD0471" w14:textId="77777777" w:rsidR="00A77B3E" w:rsidRDefault="00A77B3E">
            <w:pPr>
              <w:spacing w:before="100"/>
              <w:rPr>
                <w:rFonts w:ascii="TimesNewRoman" w:eastAsia="TimesNewRoman" w:hAnsi="TimesNewRoman" w:cs="TimesNewRoman"/>
                <w:color w:val="000000"/>
                <w:sz w:val="6"/>
              </w:rPr>
            </w:pPr>
          </w:p>
          <w:p w14:paraId="75302A3B" w14:textId="77777777" w:rsidR="00A77B3E" w:rsidRDefault="00A77B3E">
            <w:pPr>
              <w:spacing w:before="100"/>
              <w:rPr>
                <w:rFonts w:ascii="TimesNewRoman" w:eastAsia="TimesNewRoman" w:hAnsi="TimesNewRoman" w:cs="TimesNewRoman"/>
                <w:color w:val="000000"/>
                <w:sz w:val="6"/>
              </w:rPr>
            </w:pPr>
          </w:p>
        </w:tc>
      </w:tr>
    </w:tbl>
    <w:p w14:paraId="18BA296A" w14:textId="77777777" w:rsidR="00A77B3E" w:rsidRDefault="00000000">
      <w:pPr>
        <w:pStyle w:val="Heading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140" w:name="_Toc256000297"/>
      <w:r>
        <w:rPr>
          <w:rFonts w:ascii="TimesNewRoman" w:eastAsia="TimesNewRoman" w:hAnsi="TimesNewRoman" w:cs="TimesNewRoman"/>
          <w:b w:val="0"/>
          <w:color w:val="000000"/>
          <w:sz w:val="24"/>
        </w:rPr>
        <w:lastRenderedPageBreak/>
        <w:t>7. Communication and visibility</w:t>
      </w:r>
      <w:bookmarkEnd w:id="140"/>
    </w:p>
    <w:p w14:paraId="38D38600"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rPr>
        <w:t>Reference: point (j) of Article 22(3) CPR</w:t>
      </w:r>
    </w:p>
    <w:p w14:paraId="25C87436"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0466C31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61EF6AA" w14:textId="77777777" w:rsidR="00A77B3E" w:rsidRDefault="00A77B3E">
            <w:pPr>
              <w:spacing w:before="100"/>
              <w:rPr>
                <w:rFonts w:ascii="TimesNewRoman" w:eastAsia="TimesNewRoman" w:hAnsi="TimesNewRoman" w:cs="TimesNewRoman"/>
                <w:color w:val="000000"/>
                <w:sz w:val="0"/>
              </w:rPr>
            </w:pPr>
          </w:p>
          <w:p w14:paraId="3CE9905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Charter of Fundamental Rights of the European Union guarantees the right of citizens to be informed about European issues. To respect the integrity of this right, the MA will communicate the opportunities, achievements, and impact of the Programme in a visible, open, and transparent way to stakeholders, particularly the public. The MA will involve delivery partners in ensuring the results of operations are visible to those living in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area and beyond. </w:t>
            </w:r>
          </w:p>
          <w:p w14:paraId="6752C5AC" w14:textId="77777777" w:rsidR="00A77B3E" w:rsidRDefault="00A77B3E">
            <w:pPr>
              <w:spacing w:before="100"/>
              <w:rPr>
                <w:rFonts w:ascii="TimesNewRoman" w:eastAsia="TimesNewRoman" w:hAnsi="TimesNewRoman" w:cs="TimesNewRoman"/>
                <w:color w:val="000000"/>
              </w:rPr>
            </w:pPr>
          </w:p>
          <w:p w14:paraId="6D764B8C"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Key Objectives </w:t>
            </w:r>
          </w:p>
          <w:p w14:paraId="6E3D218F" w14:textId="77777777" w:rsidR="00A77B3E" w:rsidRDefault="00000000">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Raise potential beneficiaries’ awareness of the funding opportunities,</w:t>
            </w:r>
          </w:p>
          <w:p w14:paraId="3A3D53C6" w14:textId="77777777" w:rsidR="00A77B3E" w:rsidRDefault="00000000">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Support beneficiaries with communications compliance while communicating co-funded activity,</w:t>
            </w:r>
          </w:p>
          <w:p w14:paraId="5DC3B143" w14:textId="77777777" w:rsidR="00A77B3E" w:rsidRDefault="00000000">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Amplify awareness &amp; understanding of the objectives/ achievements of operations, in particular Operations of Strategic Importance,</w:t>
            </w:r>
          </w:p>
          <w:p w14:paraId="37744B7B" w14:textId="77777777" w:rsidR="00A77B3E" w:rsidRDefault="00000000">
            <w:pPr>
              <w:numPr>
                <w:ilvl w:val="0"/>
                <w:numId w:val="12"/>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Highlight the positive contribution of the ERDF and EU funding to the lives of people in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area by increasing the visibility of results of the operations.</w:t>
            </w:r>
          </w:p>
          <w:p w14:paraId="038075FE" w14:textId="77777777" w:rsidR="00A77B3E" w:rsidRDefault="00A77B3E">
            <w:pPr>
              <w:spacing w:before="100"/>
              <w:rPr>
                <w:rFonts w:ascii="TimesNewRoman" w:eastAsia="TimesNewRoman" w:hAnsi="TimesNewRoman" w:cs="TimesNewRoman"/>
                <w:color w:val="000000"/>
              </w:rPr>
            </w:pPr>
          </w:p>
          <w:p w14:paraId="723B4F9C"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Target Audience </w:t>
            </w:r>
          </w:p>
          <w:p w14:paraId="686A18A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Communications &amp; visibility actions will reach a wide audience, targeting the different audiences below with key messages that are relevant &amp; tailored to them and their needs:</w:t>
            </w:r>
          </w:p>
          <w:p w14:paraId="494141D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General public</w:t>
            </w:r>
          </w:p>
          <w:p w14:paraId="6787E09F"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Potential beneficiaries &amp; beneficiaries</w:t>
            </w:r>
          </w:p>
          <w:p w14:paraId="62C115D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Monitoring Committee</w:t>
            </w:r>
          </w:p>
          <w:p w14:paraId="246FD06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Local, regional, national &amp; EU bodies and elected representatives</w:t>
            </w:r>
          </w:p>
          <w:p w14:paraId="709A6CC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European Commission, incl. the Commission &amp; European Parliament offices in Ireland</w:t>
            </w:r>
          </w:p>
          <w:p w14:paraId="6F4B45E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Europe Direct Information </w:t>
            </w:r>
            <w:proofErr w:type="spellStart"/>
            <w:r>
              <w:rPr>
                <w:rFonts w:ascii="TimesNewRoman" w:eastAsia="TimesNewRoman" w:hAnsi="TimesNewRoman" w:cs="TimesNewRoman"/>
                <w:color w:val="000000"/>
              </w:rPr>
              <w:t>Centres</w:t>
            </w:r>
            <w:proofErr w:type="spellEnd"/>
          </w:p>
          <w:p w14:paraId="35C5EA2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HEIs, education/training bodies</w:t>
            </w:r>
          </w:p>
          <w:p w14:paraId="04B5241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Business &amp; social partners, incl. SMEs</w:t>
            </w:r>
          </w:p>
          <w:p w14:paraId="3436C0EE"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Bodies representing civil society</w:t>
            </w:r>
          </w:p>
          <w:p w14:paraId="339428E1"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Local, regional, national &amp; European media</w:t>
            </w:r>
          </w:p>
          <w:p w14:paraId="55F0FEFA" w14:textId="77777777" w:rsidR="00A77B3E" w:rsidRDefault="00A77B3E">
            <w:pPr>
              <w:spacing w:before="100"/>
              <w:rPr>
                <w:rFonts w:ascii="TimesNewRoman" w:eastAsia="TimesNewRoman" w:hAnsi="TimesNewRoman" w:cs="TimesNewRoman"/>
                <w:color w:val="000000"/>
              </w:rPr>
            </w:pPr>
          </w:p>
          <w:p w14:paraId="1972A25A"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Communications Channels</w:t>
            </w:r>
          </w:p>
          <w:p w14:paraId="5DCB0EE4"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Website: </w:t>
            </w:r>
            <w:r>
              <w:rPr>
                <w:rFonts w:ascii="TimesNewRoman" w:eastAsia="TimesNewRoman" w:hAnsi="TimesNewRoman" w:cs="TimesNewRoman"/>
                <w:color w:val="000000"/>
              </w:rPr>
              <w:t xml:space="preserve">regular updates on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objectives, opportunities &amp; activity, incl. list of operations and calls for proposals.</w:t>
            </w:r>
          </w:p>
          <w:p w14:paraId="52072382"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Social Media: </w:t>
            </w:r>
            <w:r>
              <w:rPr>
                <w:rFonts w:ascii="TimesNewRoman" w:eastAsia="TimesNewRoman" w:hAnsi="TimesNewRoman" w:cs="TimesNewRoman"/>
                <w:color w:val="000000"/>
              </w:rPr>
              <w:t>Build on existing profiles (Twitter/ Facebook/ Instagram/ LinkedIn/ YouTube) to target different audience groups and explore other appropriate digital tools as they arise.</w:t>
            </w:r>
          </w:p>
          <w:p w14:paraId="76EA1488"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Media Engagement: </w:t>
            </w:r>
            <w:r>
              <w:rPr>
                <w:rFonts w:ascii="TimesNewRoman" w:eastAsia="TimesNewRoman" w:hAnsi="TimesNewRoman" w:cs="TimesNewRoman"/>
                <w:color w:val="000000"/>
              </w:rPr>
              <w:t>(online/ print/ other) press releases, advertorials, and interviews.</w:t>
            </w:r>
          </w:p>
          <w:p w14:paraId="0D228B3D"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Events &amp; Campaigns: </w:t>
            </w:r>
            <w:proofErr w:type="spellStart"/>
            <w:r>
              <w:rPr>
                <w:rFonts w:ascii="TimesNewRoman" w:eastAsia="TimesNewRoman" w:hAnsi="TimesNewRoman" w:cs="TimesNewRoman"/>
                <w:color w:val="000000"/>
              </w:rPr>
              <w:t>organised</w:t>
            </w:r>
            <w:proofErr w:type="spellEnd"/>
            <w:r>
              <w:rPr>
                <w:rFonts w:ascii="TimesNewRoman" w:eastAsia="TimesNewRoman" w:hAnsi="TimesNewRoman" w:cs="TimesNewRoman"/>
                <w:color w:val="000000"/>
              </w:rPr>
              <w:t xml:space="preserve"> by MA and/or third parties (in-person/ hybrid/ online) to inform, engage and train our target audiences.</w:t>
            </w:r>
          </w:p>
          <w:p w14:paraId="014450F2"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Publications: </w:t>
            </w:r>
            <w:r>
              <w:rPr>
                <w:rFonts w:ascii="TimesNewRoman" w:eastAsia="TimesNewRoman" w:hAnsi="TimesNewRoman" w:cs="TimesNewRoman"/>
                <w:color w:val="000000"/>
              </w:rPr>
              <w:t xml:space="preserve">(online/ print) to support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communication/visibility actions, incl. audio-visual material.</w:t>
            </w:r>
          </w:p>
          <w:p w14:paraId="34E206B7"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Networks: </w:t>
            </w:r>
            <w:r>
              <w:rPr>
                <w:rFonts w:ascii="TimesNewRoman" w:eastAsia="TimesNewRoman" w:hAnsi="TimesNewRoman" w:cs="TimesNewRoman"/>
                <w:color w:val="000000"/>
              </w:rPr>
              <w:t>work with delivery partners, national communications coordinator, ESIF in Ireland, stakeholders &amp; the INFORMEU network to develop &amp; deliver innovative actions</w:t>
            </w:r>
          </w:p>
          <w:p w14:paraId="5E287A2A"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lastRenderedPageBreak/>
              <w:t>National Web Portal:</w:t>
            </w:r>
            <w:r>
              <w:rPr>
                <w:rFonts w:ascii="TimesNewRoman" w:eastAsia="TimesNewRoman" w:hAnsi="TimesNewRoman" w:cs="TimesNewRoman"/>
                <w:color w:val="000000"/>
              </w:rPr>
              <w:t xml:space="preserve"> provide content and regular updates to the national portal on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progress.</w:t>
            </w:r>
          </w:p>
          <w:p w14:paraId="51E380E0" w14:textId="77777777" w:rsidR="00A77B3E" w:rsidRDefault="00A77B3E">
            <w:pPr>
              <w:spacing w:before="100"/>
              <w:rPr>
                <w:rFonts w:ascii="TimesNewRoman" w:eastAsia="TimesNewRoman" w:hAnsi="TimesNewRoman" w:cs="TimesNewRoman"/>
                <w:color w:val="000000"/>
              </w:rPr>
            </w:pPr>
          </w:p>
          <w:p w14:paraId="1FD3EAD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MA will consider accessibility of its communications tools and platforms for persons with disabilities and will comply with S.I. No. 358/2020 - European Union (Accessibility of Websites and Mobile Applications of Public Sector Bodies) Regulations 2020.</w:t>
            </w:r>
          </w:p>
          <w:p w14:paraId="1FE50F4D" w14:textId="77777777" w:rsidR="00A77B3E" w:rsidRDefault="00A77B3E">
            <w:pPr>
              <w:spacing w:before="100"/>
              <w:rPr>
                <w:rFonts w:ascii="TimesNewRoman" w:eastAsia="TimesNewRoman" w:hAnsi="TimesNewRoman" w:cs="TimesNewRoman"/>
                <w:color w:val="000000"/>
              </w:rPr>
            </w:pPr>
          </w:p>
          <w:p w14:paraId="3188C49B" w14:textId="77777777" w:rsidR="00A77B3E" w:rsidRDefault="00A77B3E">
            <w:pPr>
              <w:spacing w:before="100"/>
              <w:rPr>
                <w:rFonts w:ascii="TimesNewRoman" w:eastAsia="TimesNewRoman" w:hAnsi="TimesNewRoman" w:cs="TimesNewRoman"/>
                <w:color w:val="000000"/>
              </w:rPr>
            </w:pPr>
          </w:p>
          <w:p w14:paraId="66EB3AA9"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Beneficiary Supports</w:t>
            </w:r>
          </w:p>
          <w:p w14:paraId="693642C1" w14:textId="77777777" w:rsidR="00A77B3E" w:rsidRDefault="00000000">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Set up ongoing communications compliance supports for beneficiaries, including operations of strategic importance,</w:t>
            </w:r>
          </w:p>
          <w:p w14:paraId="61ABCC63" w14:textId="77777777" w:rsidR="00A77B3E" w:rsidRDefault="00000000">
            <w:pPr>
              <w:numPr>
                <w:ilvl w:val="0"/>
                <w:numId w:val="13"/>
              </w:numPr>
              <w:spacing w:before="100"/>
              <w:rPr>
                <w:rFonts w:ascii="TimesNewRoman" w:eastAsia="TimesNewRoman" w:hAnsi="TimesNewRoman" w:cs="TimesNewRoman"/>
                <w:color w:val="000000"/>
              </w:rPr>
            </w:pPr>
            <w:r>
              <w:rPr>
                <w:rFonts w:ascii="TimesNewRoman" w:eastAsia="TimesNewRoman" w:hAnsi="TimesNewRoman" w:cs="TimesNewRoman"/>
                <w:color w:val="000000"/>
              </w:rPr>
              <w:t>Define a publicity process between the MA, Member State and the Commission for the launch and ongoing progress of Operations of Strategic Importance to increase their visibility to target audiences.</w:t>
            </w:r>
          </w:p>
          <w:p w14:paraId="16CCEFD9" w14:textId="77777777" w:rsidR="00A77B3E" w:rsidRDefault="00A77B3E">
            <w:pPr>
              <w:spacing w:before="100"/>
              <w:rPr>
                <w:rFonts w:ascii="TimesNewRoman" w:eastAsia="TimesNewRoman" w:hAnsi="TimesNewRoman" w:cs="TimesNewRoman"/>
                <w:color w:val="000000"/>
              </w:rPr>
            </w:pPr>
          </w:p>
          <w:p w14:paraId="4F1A114D"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Budget &amp; Resources</w:t>
            </w:r>
          </w:p>
          <w:p w14:paraId="36169D0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MA will have a communications budget of up to 0.3% with built-in flexibility to allow for actions to move with trends, circumstances, and tools. The MA will appoint a Communications Officer to coordinate the delivery of all related measures and to collaborate with the national communication </w:t>
            </w:r>
            <w:proofErr w:type="spellStart"/>
            <w:r>
              <w:rPr>
                <w:rFonts w:ascii="TimesNewRoman" w:eastAsia="TimesNewRoman" w:hAnsi="TimesNewRoman" w:cs="TimesNewRoman"/>
                <w:color w:val="000000"/>
              </w:rPr>
              <w:t>co-ordinator</w:t>
            </w:r>
            <w:proofErr w:type="spellEnd"/>
            <w:r>
              <w:rPr>
                <w:rFonts w:ascii="TimesNewRoman" w:eastAsia="TimesNewRoman" w:hAnsi="TimesNewRoman" w:cs="TimesNewRoman"/>
                <w:color w:val="000000"/>
              </w:rPr>
              <w:t>.</w:t>
            </w:r>
          </w:p>
          <w:p w14:paraId="1C92D828" w14:textId="77777777" w:rsidR="00A77B3E" w:rsidRDefault="00A77B3E">
            <w:pPr>
              <w:spacing w:before="100"/>
              <w:rPr>
                <w:rFonts w:ascii="TimesNewRoman" w:eastAsia="TimesNewRoman" w:hAnsi="TimesNewRoman" w:cs="TimesNewRoman"/>
                <w:color w:val="000000"/>
              </w:rPr>
            </w:pPr>
          </w:p>
          <w:p w14:paraId="487B3C5D"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Annual Communications Plan</w:t>
            </w:r>
          </w:p>
          <w:p w14:paraId="3AC7A0B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MA will implement a yearly plan to achieve the strategy’s objectives, including measurable actions:</w:t>
            </w:r>
          </w:p>
          <w:p w14:paraId="176D59A9" w14:textId="77777777" w:rsidR="00A77B3E" w:rsidRDefault="00000000">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Online actions via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website and social media channels,</w:t>
            </w:r>
          </w:p>
          <w:p w14:paraId="59155F51" w14:textId="77777777" w:rsidR="00A77B3E" w:rsidRDefault="00000000">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Ongoing communications compliance supports for beneficiaries, including operations of strategic importance,</w:t>
            </w:r>
          </w:p>
          <w:p w14:paraId="23F685BD" w14:textId="77777777" w:rsidR="00A77B3E" w:rsidRDefault="00000000">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Define a process for collaboration between the MA, Member State and the Commission to </w:t>
            </w:r>
            <w:proofErr w:type="spellStart"/>
            <w:r>
              <w:rPr>
                <w:rFonts w:ascii="TimesNewRoman" w:eastAsia="TimesNewRoman" w:hAnsi="TimesNewRoman" w:cs="TimesNewRoman"/>
                <w:color w:val="000000"/>
              </w:rPr>
              <w:t>publicise</w:t>
            </w:r>
            <w:proofErr w:type="spellEnd"/>
            <w:r>
              <w:rPr>
                <w:rFonts w:ascii="TimesNewRoman" w:eastAsia="TimesNewRoman" w:hAnsi="TimesNewRoman" w:cs="TimesNewRoman"/>
                <w:color w:val="000000"/>
              </w:rPr>
              <w:t xml:space="preserve"> the launch and ongoing progress of Operations of Strategic Importance to increase their visibility to target audiences,</w:t>
            </w:r>
          </w:p>
          <w:p w14:paraId="437558EF" w14:textId="77777777" w:rsidR="00A77B3E" w:rsidRDefault="00000000">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Public information events, media campaigns and activities,</w:t>
            </w:r>
          </w:p>
          <w:p w14:paraId="07E1A849" w14:textId="77777777" w:rsidR="00A77B3E" w:rsidRDefault="00000000">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Publication of advertising, advertorials, and case studies of operation activity (online/ print),</w:t>
            </w:r>
          </w:p>
          <w:p w14:paraId="7701BBBA" w14:textId="77777777" w:rsidR="00A77B3E" w:rsidRDefault="00000000">
            <w:pPr>
              <w:numPr>
                <w:ilvl w:val="0"/>
                <w:numId w:val="14"/>
              </w:numPr>
              <w:spacing w:before="100"/>
              <w:rPr>
                <w:rFonts w:ascii="TimesNewRoman" w:eastAsia="TimesNewRoman" w:hAnsi="TimesNewRoman" w:cs="TimesNewRoman"/>
                <w:color w:val="000000"/>
              </w:rPr>
            </w:pPr>
            <w:r>
              <w:rPr>
                <w:rFonts w:ascii="TimesNewRoman" w:eastAsia="TimesNewRoman" w:hAnsi="TimesNewRoman" w:cs="TimesNewRoman"/>
                <w:color w:val="000000"/>
              </w:rPr>
              <w:t>Update the monitoring committee and the Commission on communications actions.</w:t>
            </w:r>
          </w:p>
          <w:p w14:paraId="188BCC27" w14:textId="77777777" w:rsidR="00A77B3E" w:rsidRDefault="00A77B3E">
            <w:pPr>
              <w:spacing w:before="100"/>
              <w:rPr>
                <w:rFonts w:ascii="TimesNewRoman" w:eastAsia="TimesNewRoman" w:hAnsi="TimesNewRoman" w:cs="TimesNewRoman"/>
                <w:color w:val="000000"/>
              </w:rPr>
            </w:pPr>
          </w:p>
          <w:p w14:paraId="4623B821"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Monitoring &amp; Evaluation </w:t>
            </w:r>
          </w:p>
          <w:p w14:paraId="635B9A2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Communication &amp; visibility actions will be subject to regular evaluation, with data from surveys, internal statistics, listener &amp; reader reach, website/platform analytics etc. The impact of outputs will be measured by two surveys to evaluate the overall impact of communications activities by measuring public awareness of and attitudes toward the EU and EU funding (baseline: 2021 public awareness survey: 42% prompted awareness of ERDF).</w:t>
            </w:r>
          </w:p>
          <w:p w14:paraId="4C35FE5F" w14:textId="77777777" w:rsidR="00A77B3E" w:rsidRDefault="00A77B3E">
            <w:pPr>
              <w:spacing w:before="100"/>
              <w:rPr>
                <w:rFonts w:ascii="TimesNewRoman" w:eastAsia="TimesNewRoman" w:hAnsi="TimesNewRoman" w:cs="TimesNewRoman"/>
                <w:color w:val="000000"/>
              </w:rPr>
            </w:pPr>
          </w:p>
          <w:p w14:paraId="4E6C566E"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following actions will be subject to yearly monitoring &amp; evaluation against metrics and tools that are appropriate to that action or platform:</w:t>
            </w:r>
          </w:p>
          <w:p w14:paraId="2D3CA496"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Communications Strategy:</w:t>
            </w:r>
            <w:r>
              <w:rPr>
                <w:rFonts w:ascii="TimesNewRoman" w:eastAsia="TimesNewRoman" w:hAnsi="TimesNewRoman" w:cs="TimesNewRoman"/>
                <w:color w:val="000000"/>
              </w:rPr>
              <w:t xml:space="preserve"> baseline 2021 public awareness survey: 42% prompted awareness.</w:t>
            </w:r>
          </w:p>
          <w:p w14:paraId="0A82D42E"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Website &amp; social media:</w:t>
            </w:r>
            <w:r>
              <w:rPr>
                <w:rFonts w:ascii="TimesNewRoman" w:eastAsia="TimesNewRoman" w:hAnsi="TimesNewRoman" w:cs="TimesNewRoman"/>
                <w:color w:val="000000"/>
              </w:rPr>
              <w:t xml:space="preserve"> metrics measured against 2021 analytics as baseline.</w:t>
            </w:r>
          </w:p>
          <w:p w14:paraId="58129957"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Events:</w:t>
            </w:r>
            <w:r>
              <w:rPr>
                <w:rFonts w:ascii="TimesNewRoman" w:eastAsia="TimesNewRoman" w:hAnsi="TimesNewRoman" w:cs="TimesNewRoman"/>
                <w:color w:val="000000"/>
              </w:rPr>
              <w:t xml:space="preserve">10 presentations delivered at MA and/ or third party events on SEM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activity.</w:t>
            </w:r>
          </w:p>
          <w:p w14:paraId="5C917406"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lastRenderedPageBreak/>
              <w:t>Advertorials:</w:t>
            </w:r>
            <w:r>
              <w:rPr>
                <w:rFonts w:ascii="TimesNewRoman" w:eastAsia="TimesNewRoman" w:hAnsi="TimesNewRoman" w:cs="TimesNewRoman"/>
                <w:color w:val="000000"/>
              </w:rPr>
              <w:t xml:space="preserve"> 9 published (online/ print reach).</w:t>
            </w:r>
          </w:p>
          <w:p w14:paraId="531CE6B7"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Case Studies:</w:t>
            </w:r>
            <w:r>
              <w:rPr>
                <w:rFonts w:ascii="TimesNewRoman" w:eastAsia="TimesNewRoman" w:hAnsi="TimesNewRoman" w:cs="TimesNewRoman"/>
                <w:color w:val="000000"/>
              </w:rPr>
              <w:t xml:space="preserve"> 12 collected and published online.</w:t>
            </w:r>
          </w:p>
          <w:p w14:paraId="16CBE0D6" w14:textId="77777777" w:rsidR="00A77B3E" w:rsidRDefault="00000000">
            <w:pPr>
              <w:spacing w:before="100"/>
              <w:rPr>
                <w:rFonts w:ascii="TimesNewRoman" w:eastAsia="TimesNewRoman" w:hAnsi="TimesNewRoman" w:cs="TimesNewRoman"/>
                <w:color w:val="000000"/>
              </w:rPr>
            </w:pPr>
            <w:r>
              <w:rPr>
                <w:rStyle w:val="Strong"/>
                <w:rFonts w:ascii="TimesNewRoman" w:eastAsia="TimesNewRoman" w:hAnsi="TimesNewRoman" w:cs="TimesNewRoman"/>
                <w:b w:val="0"/>
                <w:color w:val="000000"/>
              </w:rPr>
              <w:t xml:space="preserve">Publications: </w:t>
            </w:r>
            <w:r>
              <w:rPr>
                <w:rFonts w:ascii="TimesNewRoman" w:eastAsia="TimesNewRoman" w:hAnsi="TimesNewRoman" w:cs="TimesNewRoman"/>
                <w:color w:val="000000"/>
              </w:rPr>
              <w:t>7 produced &amp; published online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statistics).</w:t>
            </w:r>
          </w:p>
          <w:p w14:paraId="267D29DE" w14:textId="77777777" w:rsidR="00A77B3E" w:rsidRDefault="00A77B3E">
            <w:pPr>
              <w:spacing w:before="100"/>
              <w:rPr>
                <w:rFonts w:ascii="TimesNewRoman" w:eastAsia="TimesNewRoman" w:hAnsi="TimesNewRoman" w:cs="TimesNewRoman"/>
                <w:color w:val="000000"/>
                <w:sz w:val="6"/>
              </w:rPr>
            </w:pPr>
          </w:p>
          <w:p w14:paraId="2ABBDF00" w14:textId="77777777" w:rsidR="00A77B3E" w:rsidRDefault="00A77B3E">
            <w:pPr>
              <w:spacing w:before="100"/>
              <w:rPr>
                <w:rFonts w:ascii="TimesNewRoman" w:eastAsia="TimesNewRoman" w:hAnsi="TimesNewRoman" w:cs="TimesNewRoman"/>
                <w:color w:val="000000"/>
                <w:sz w:val="6"/>
              </w:rPr>
            </w:pPr>
          </w:p>
        </w:tc>
      </w:tr>
    </w:tbl>
    <w:p w14:paraId="75562243" w14:textId="77777777" w:rsidR="00A77B3E" w:rsidRDefault="00000000">
      <w:pPr>
        <w:pStyle w:val="Heading1"/>
        <w:spacing w:before="100" w:after="0"/>
        <w:rPr>
          <w:rFonts w:ascii="TimesNewRoman" w:eastAsia="TimesNewRoman" w:hAnsi="TimesNewRoman" w:cs="TimesNewRoman"/>
          <w:b w:val="0"/>
          <w:color w:val="000000"/>
          <w:sz w:val="24"/>
        </w:rPr>
      </w:pPr>
      <w:r>
        <w:rPr>
          <w:rFonts w:ascii="TimesNewRoman" w:eastAsia="TimesNewRoman" w:hAnsi="TimesNewRoman" w:cs="TimesNewRoman"/>
          <w:b w:val="0"/>
          <w:color w:val="000000"/>
          <w:sz w:val="24"/>
        </w:rPr>
        <w:lastRenderedPageBreak/>
        <w:br w:type="page"/>
      </w:r>
      <w:bookmarkStart w:id="141" w:name="_Toc256000298"/>
      <w:r>
        <w:rPr>
          <w:rFonts w:ascii="TimesNewRoman" w:eastAsia="TimesNewRoman" w:hAnsi="TimesNewRoman" w:cs="TimesNewRoman"/>
          <w:b w:val="0"/>
          <w:color w:val="000000"/>
          <w:sz w:val="24"/>
        </w:rPr>
        <w:lastRenderedPageBreak/>
        <w:t>8. Use of unit costs, lump sums, flat rates and financing not linked to costs</w:t>
      </w:r>
      <w:bookmarkEnd w:id="141"/>
    </w:p>
    <w:p w14:paraId="046D624C"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rPr>
        <w:t>Reference: Articles 94 and 95 CPR</w:t>
      </w:r>
    </w:p>
    <w:p w14:paraId="7360BE1F"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2" w:name="_Toc256000299"/>
      <w:r>
        <w:rPr>
          <w:rFonts w:ascii="TimesNewRoman" w:eastAsia="TimesNewRoman" w:hAnsi="TimesNewRoman" w:cs="TimesNewRoman"/>
          <w:b w:val="0"/>
          <w:i w:val="0"/>
          <w:color w:val="000000"/>
          <w:sz w:val="24"/>
        </w:rPr>
        <w:t>Table 14: Use of unit costs, lump sums, flat rates and financing not linked to costs</w:t>
      </w:r>
      <w:bookmarkEnd w:id="142"/>
    </w:p>
    <w:p w14:paraId="616A9429"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gridCol w:w="432"/>
        <w:gridCol w:w="365"/>
      </w:tblGrid>
      <w:tr w:rsidR="00B82D50" w14:paraId="58618817"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C2CE1F"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Intended use of Articles 94 and 95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C6A644F"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971DDC" w14:textId="77777777" w:rsidR="00A77B3E" w:rsidRDefault="00000000">
            <w:pPr>
              <w:spacing w:before="100"/>
              <w:jc w:val="center"/>
              <w:rPr>
                <w:rFonts w:ascii="TimesNewRoman" w:eastAsia="TimesNewRoman" w:hAnsi="TimesNewRoman" w:cs="TimesNewRoman"/>
                <w:color w:val="000000"/>
                <w:sz w:val="20"/>
              </w:rPr>
            </w:pPr>
            <w:r>
              <w:rPr>
                <w:rFonts w:ascii="TimesNewRoman" w:eastAsia="TimesNewRoman" w:hAnsi="TimesNewRoman" w:cs="TimesNewRoman"/>
                <w:color w:val="000000"/>
                <w:sz w:val="20"/>
              </w:rPr>
              <w:t>No</w:t>
            </w:r>
          </w:p>
        </w:tc>
      </w:tr>
      <w:tr w:rsidR="00B82D50" w14:paraId="1F50D724"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0AECE45"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From the adoption, the </w:t>
            </w:r>
            <w:proofErr w:type="spellStart"/>
            <w:r>
              <w:rPr>
                <w:rFonts w:ascii="TimesNewRoman" w:eastAsia="TimesNewRoman" w:hAnsi="TimesNewRoman" w:cs="TimesNewRoman"/>
                <w:color w:val="000000"/>
                <w:sz w:val="20"/>
              </w:rPr>
              <w:t>programme</w:t>
            </w:r>
            <w:proofErr w:type="spellEnd"/>
            <w:r>
              <w:rPr>
                <w:rFonts w:ascii="TimesNewRoman" w:eastAsia="TimesNewRoman" w:hAnsi="TimesNewRoman" w:cs="TimesNewRoman"/>
                <w:color w:val="000000"/>
                <w:sz w:val="20"/>
              </w:rPr>
              <w:t xml:space="preserve"> will make use of reimbursement of the Union contribution based on unit costs, lump sums and flat rates under the priority according to Article 94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2C06D5"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1"/>
                    <w:checked/>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D0EE415"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0"/>
                    <w:checked w:val="0"/>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r w:rsidR="00B82D50" w14:paraId="6635347D" w14:textId="77777777">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5A4DED"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t xml:space="preserve">From the adoption, the </w:t>
            </w:r>
            <w:proofErr w:type="spellStart"/>
            <w:r>
              <w:rPr>
                <w:rFonts w:ascii="TimesNewRoman" w:eastAsia="TimesNewRoman" w:hAnsi="TimesNewRoman" w:cs="TimesNewRoman"/>
                <w:color w:val="000000"/>
                <w:sz w:val="20"/>
              </w:rPr>
              <w:t>programme</w:t>
            </w:r>
            <w:proofErr w:type="spellEnd"/>
            <w:r>
              <w:rPr>
                <w:rFonts w:ascii="TimesNewRoman" w:eastAsia="TimesNewRoman" w:hAnsi="TimesNewRoman" w:cs="TimesNewRoman"/>
                <w:color w:val="000000"/>
                <w:sz w:val="20"/>
              </w:rPr>
              <w:t xml:space="preserve"> will make use of reimbursement of the Union contribution based on financing not linked to costs according to Article 95 CPR</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6C72BC"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0"/>
                    <w:checked w:val="0"/>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57A7708" w14:textId="77777777" w:rsidR="00A77B3E" w:rsidRDefault="00000000">
            <w:pPr>
              <w:spacing w:before="100"/>
              <w:rPr>
                <w:rFonts w:ascii="TimesNewRoman" w:eastAsia="TimesNewRoman" w:hAnsi="TimesNewRoman" w:cs="TimesNewRoman"/>
                <w:color w:val="000000"/>
                <w:sz w:val="20"/>
              </w:rPr>
            </w:pPr>
            <w:r>
              <w:rPr>
                <w:rFonts w:ascii="TimesNewRoman" w:eastAsia="TimesNewRoman" w:hAnsi="TimesNewRoman" w:cs="TimesNewRoman"/>
                <w:color w:val="000000"/>
                <w:sz w:val="20"/>
              </w:rPr>
              <w:fldChar w:fldCharType="begin">
                <w:ffData>
                  <w:name w:val=""/>
                  <w:enabled/>
                  <w:calcOnExit w:val="0"/>
                  <w:checkBox>
                    <w:size w:val="20"/>
                    <w:default w:val="1"/>
                    <w:checked/>
                  </w:checkBox>
                </w:ffData>
              </w:fldChar>
            </w:r>
            <w:r>
              <w:rPr>
                <w:rFonts w:ascii="TimesNewRoman" w:eastAsia="TimesNewRoman" w:hAnsi="TimesNewRoman" w:cs="TimesNewRoman"/>
                <w:color w:val="000000"/>
                <w:sz w:val="20"/>
              </w:rPr>
              <w:instrText xml:space="preserve"> FORMCHECKBOX </w:instrText>
            </w:r>
            <w:r>
              <w:rPr>
                <w:rFonts w:ascii="TimesNewRoman" w:eastAsia="TimesNewRoman" w:hAnsi="TimesNewRoman" w:cs="TimesNewRoman"/>
                <w:color w:val="000000"/>
                <w:sz w:val="20"/>
              </w:rPr>
            </w:r>
            <w:r>
              <w:rPr>
                <w:rFonts w:ascii="TimesNewRoman" w:eastAsia="TimesNewRoman" w:hAnsi="TimesNewRoman" w:cs="TimesNewRoman"/>
                <w:color w:val="000000"/>
                <w:sz w:val="20"/>
              </w:rPr>
              <w:fldChar w:fldCharType="separate"/>
            </w:r>
            <w:r>
              <w:rPr>
                <w:rFonts w:ascii="TimesNewRoman" w:eastAsia="TimesNewRoman" w:hAnsi="TimesNewRoman" w:cs="TimesNewRoman"/>
                <w:color w:val="000000"/>
                <w:sz w:val="20"/>
              </w:rPr>
              <w:fldChar w:fldCharType="end"/>
            </w:r>
            <w:r>
              <w:rPr>
                <w:rFonts w:ascii="TimesNewRoman" w:eastAsia="TimesNewRoman" w:hAnsi="TimesNewRoman" w:cs="TimesNewRoman"/>
                <w:color w:val="000000"/>
                <w:sz w:val="20"/>
              </w:rPr>
              <w:t xml:space="preserve"> </w:t>
            </w:r>
          </w:p>
        </w:tc>
      </w:tr>
    </w:tbl>
    <w:p w14:paraId="222B7D4C" w14:textId="77777777" w:rsidR="00A77B3E" w:rsidRDefault="00A77B3E">
      <w:pPr>
        <w:spacing w:before="100"/>
        <w:jc w:val="center"/>
        <w:rPr>
          <w:rFonts w:ascii="TimesNewRoman" w:eastAsia="TimesNewRoman" w:hAnsi="TimesNewRoman" w:cs="TimesNewRoman"/>
          <w:color w:val="000000"/>
          <w:sz w:val="20"/>
        </w:rPr>
        <w:sectPr w:rsidR="00A77B3E">
          <w:headerReference w:type="even" r:id="rId37"/>
          <w:headerReference w:type="default" r:id="rId38"/>
          <w:footerReference w:type="even" r:id="rId39"/>
          <w:footerReference w:type="default" r:id="rId40"/>
          <w:headerReference w:type="first" r:id="rId41"/>
          <w:footerReference w:type="first" r:id="rId42"/>
          <w:pgSz w:w="11906" w:h="16838"/>
          <w:pgMar w:top="720" w:right="936" w:bottom="864" w:left="720" w:header="0" w:footer="72" w:gutter="0"/>
          <w:cols w:space="708"/>
          <w:noEndnote/>
          <w:docGrid w:linePitch="360"/>
        </w:sectPr>
      </w:pPr>
    </w:p>
    <w:p w14:paraId="797296EF" w14:textId="77777777" w:rsidR="00A77B3E" w:rsidRDefault="00000000">
      <w:pPr>
        <w:pStyle w:val="Heading1"/>
        <w:spacing w:before="100" w:after="0"/>
        <w:rPr>
          <w:rFonts w:ascii="TimesNewRoman" w:eastAsia="TimesNewRoman" w:hAnsi="TimesNewRoman" w:cs="TimesNewRoman"/>
          <w:b w:val="0"/>
          <w:color w:val="000000"/>
          <w:sz w:val="24"/>
        </w:rPr>
      </w:pPr>
      <w:bookmarkStart w:id="143" w:name="_Toc256000300"/>
      <w:r>
        <w:rPr>
          <w:rFonts w:ascii="TimesNewRoman" w:eastAsia="TimesNewRoman" w:hAnsi="TimesNewRoman" w:cs="TimesNewRoman"/>
          <w:b w:val="0"/>
          <w:color w:val="000000"/>
          <w:sz w:val="24"/>
        </w:rPr>
        <w:lastRenderedPageBreak/>
        <w:t>Appendix 1: Union contribution based on unit costs, lump sums and flat rates</w:t>
      </w:r>
      <w:bookmarkEnd w:id="143"/>
    </w:p>
    <w:p w14:paraId="3C155638"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4" w:name="_Toc256000301"/>
      <w:r>
        <w:rPr>
          <w:rFonts w:ascii="TimesNewRoman" w:eastAsia="TimesNewRoman" w:hAnsi="TimesNewRoman" w:cs="TimesNewRoman"/>
          <w:b w:val="0"/>
          <w:i w:val="0"/>
          <w:color w:val="000000"/>
          <w:sz w:val="24"/>
        </w:rPr>
        <w:t>A. Summary of the main elements</w:t>
      </w:r>
      <w:bookmarkEnd w:id="144"/>
    </w:p>
    <w:p w14:paraId="199984E1"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995"/>
        <w:gridCol w:w="1989"/>
        <w:gridCol w:w="1988"/>
        <w:gridCol w:w="1493"/>
        <w:gridCol w:w="998"/>
        <w:gridCol w:w="1034"/>
        <w:gridCol w:w="996"/>
        <w:gridCol w:w="997"/>
        <w:gridCol w:w="1494"/>
        <w:gridCol w:w="996"/>
        <w:gridCol w:w="1195"/>
      </w:tblGrid>
      <w:tr w:rsidR="00B82D50" w14:paraId="2CD5E343" w14:textId="77777777">
        <w:trPr>
          <w:tblHeader/>
        </w:trPr>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8B59BF"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Priority</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FEBC18"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Fund</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C82B80A"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Specific objective</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DB30DF"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Category of region</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EEC1A9"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Estimated proportion of the total financial allocation within the priority to which the SCO will be applied in %            </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E886AC1"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Type(s) of operation covered</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274396A"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Indicator triggering reimbursement</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FCB8666"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Unit of measurement for the indicator triggering reimbursement           </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DEFF0A9"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Type of SCO (standard scale of unit costs, lump sums or flat rates)</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8F07C1B"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Amount (in EUR) or percentage (in case of flat rates) of the SCO</w:t>
            </w:r>
          </w:p>
        </w:tc>
      </w:tr>
      <w:tr w:rsidR="00B82D50" w14:paraId="1C1489D3" w14:textId="77777777">
        <w:trPr>
          <w:tblHeader/>
        </w:trPr>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47C57CF"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416B34"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5BA7CE9"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E56DA5F" w14:textId="77777777" w:rsidR="00A77B3E" w:rsidRDefault="00A77B3E">
            <w:pPr>
              <w:spacing w:before="100"/>
              <w:jc w:val="center"/>
              <w:rPr>
                <w:rFonts w:ascii="TimesNewRoman" w:eastAsia="TimesNewRoman" w:hAnsi="TimesNewRoman" w:cs="TimesNewRoman"/>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0465A7"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BC63F3"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Code(1)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534888"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Description</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12486B"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Code(2)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7127DB"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12E77C"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473B3E" w14:textId="77777777" w:rsidR="00A77B3E" w:rsidRDefault="00A77B3E">
            <w:pPr>
              <w:spacing w:before="100"/>
              <w:jc w:val="center"/>
              <w:rPr>
                <w:rFonts w:ascii="TimesNewRoman" w:eastAsia="TimesNewRoman" w:hAnsi="TimesNewRoman" w:cs="TimesNewRoman"/>
                <w:color w:val="000000"/>
                <w:sz w:val="12"/>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B88009" w14:textId="77777777" w:rsidR="00A77B3E" w:rsidRDefault="00A77B3E">
            <w:pPr>
              <w:spacing w:before="100"/>
              <w:jc w:val="center"/>
              <w:rPr>
                <w:rFonts w:ascii="TimesNewRoman" w:eastAsia="TimesNewRoman" w:hAnsi="TimesNewRoman" w:cs="TimesNewRoman"/>
                <w:color w:val="000000"/>
                <w:sz w:val="12"/>
              </w:rPr>
            </w:pPr>
          </w:p>
        </w:tc>
      </w:tr>
      <w:tr w:rsidR="00B82D50" w14:paraId="33BC99FE" w14:textId="77777777">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F8321A"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SEM1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EA6F019"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ERDF</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555FB6C"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RSO1.1. Developing and enhancing research and innovation capacities and the uptake of advanced technologies</w:t>
            </w:r>
          </w:p>
        </w:tc>
        <w:tc>
          <w:tcPr>
            <w:tcW w:w="2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E9B4051"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More developed</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FF345A" w14:textId="77777777" w:rsidR="00A77B3E" w:rsidRDefault="00000000">
            <w:pPr>
              <w:spacing w:before="100"/>
              <w:jc w:val="right"/>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               4.00%</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D881AC4"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012. Research and innovation activities in public research </w:t>
            </w:r>
            <w:proofErr w:type="spellStart"/>
            <w:r>
              <w:rPr>
                <w:rFonts w:ascii="TimesNewRoman" w:eastAsia="TimesNewRoman" w:hAnsi="TimesNewRoman" w:cs="TimesNewRoman"/>
                <w:color w:val="000000"/>
                <w:sz w:val="12"/>
              </w:rPr>
              <w:t>centres</w:t>
            </w:r>
            <w:proofErr w:type="spellEnd"/>
            <w:r>
              <w:rPr>
                <w:rFonts w:ascii="TimesNewRoman" w:eastAsia="TimesNewRoman" w:hAnsi="TimesNewRoman" w:cs="TimesNewRoman"/>
                <w:color w:val="000000"/>
                <w:sz w:val="12"/>
              </w:rPr>
              <w:t xml:space="preserve">, higher education and </w:t>
            </w:r>
            <w:proofErr w:type="spellStart"/>
            <w:r>
              <w:rPr>
                <w:rFonts w:ascii="TimesNewRoman" w:eastAsia="TimesNewRoman" w:hAnsi="TimesNewRoman" w:cs="TimesNewRoman"/>
                <w:color w:val="000000"/>
                <w:sz w:val="12"/>
              </w:rPr>
              <w:t>centres</w:t>
            </w:r>
            <w:proofErr w:type="spellEnd"/>
            <w:r>
              <w:rPr>
                <w:rFonts w:ascii="TimesNewRoman" w:eastAsia="TimesNewRoman" w:hAnsi="TimesNewRoman" w:cs="TimesNewRoman"/>
                <w:color w:val="000000"/>
                <w:sz w:val="12"/>
              </w:rPr>
              <w:t xml:space="preserve"> of competence including networking (industrial research, experimental development, feasibility studies)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977A247"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 xml:space="preserve">Accelerating Research to </w:t>
            </w:r>
            <w:proofErr w:type="spellStart"/>
            <w:r>
              <w:rPr>
                <w:rFonts w:ascii="TimesNewRoman" w:eastAsia="TimesNewRoman" w:hAnsi="TimesNewRoman" w:cs="TimesNewRoman"/>
                <w:color w:val="000000"/>
                <w:sz w:val="12"/>
              </w:rPr>
              <w:t>Commercialisation</w:t>
            </w:r>
            <w:proofErr w:type="spellEnd"/>
            <w:r>
              <w:rPr>
                <w:rFonts w:ascii="TimesNewRoman" w:eastAsia="TimesNewRoman" w:hAnsi="TimesNewRoman" w:cs="TimesNewRoman"/>
                <w:color w:val="000000"/>
                <w:sz w:val="12"/>
              </w:rPr>
              <w:t xml:space="preserve"> (ARC) Hubs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D9945CC" w14:textId="77777777" w:rsidR="00A77B3E" w:rsidRDefault="00A77B3E">
            <w:pPr>
              <w:spacing w:before="100"/>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17924E"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Total eligible direct costs excluding equipment costs, in EUR, also referred to as 'Modified Total Directs Costs’</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F548316"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n/a</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835F181"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Flat rate</w:t>
            </w:r>
          </w:p>
        </w:tc>
        <w:tc>
          <w:tcPr>
            <w:tcW w:w="12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87ECE48"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30%</w:t>
            </w:r>
          </w:p>
        </w:tc>
      </w:tr>
    </w:tbl>
    <w:p w14:paraId="656C663C"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(1) This refers to the code for the intervention field dimension in Table 1 of Annex I to the CPR and the Annex IV to the EMFAF regulation</w:t>
      </w:r>
    </w:p>
    <w:p w14:paraId="0A9AF826" w14:textId="77777777" w:rsidR="00A77B3E" w:rsidRDefault="00000000">
      <w:pPr>
        <w:spacing w:before="100"/>
        <w:rPr>
          <w:rFonts w:ascii="TimesNewRoman" w:eastAsia="TimesNewRoman" w:hAnsi="TimesNewRoman" w:cs="TimesNewRoman"/>
          <w:color w:val="000000"/>
          <w:sz w:val="16"/>
        </w:rPr>
      </w:pPr>
      <w:r>
        <w:rPr>
          <w:rFonts w:ascii="TimesNewRoman" w:eastAsia="TimesNewRoman" w:hAnsi="TimesNewRoman" w:cs="TimesNewRoman"/>
          <w:color w:val="000000"/>
          <w:sz w:val="16"/>
        </w:rPr>
        <w:t>(2)  This refers to the code of a common indicator, if applicable</w:t>
      </w:r>
    </w:p>
    <w:p w14:paraId="762E6FF1" w14:textId="77777777" w:rsidR="00A77B3E" w:rsidRDefault="00A77B3E">
      <w:pPr>
        <w:spacing w:before="100"/>
        <w:rPr>
          <w:rFonts w:ascii="TimesNewRoman" w:eastAsia="TimesNewRoman" w:hAnsi="TimesNewRoman" w:cs="TimesNewRoman"/>
          <w:color w:val="000000"/>
        </w:rPr>
        <w:sectPr w:rsidR="00A77B3E">
          <w:headerReference w:type="even" r:id="rId43"/>
          <w:headerReference w:type="default" r:id="rId44"/>
          <w:footerReference w:type="even" r:id="rId45"/>
          <w:footerReference w:type="default" r:id="rId46"/>
          <w:headerReference w:type="first" r:id="rId47"/>
          <w:footerReference w:type="first" r:id="rId48"/>
          <w:pgSz w:w="16838" w:h="11906" w:orient="landscape"/>
          <w:pgMar w:top="720" w:right="720" w:bottom="864" w:left="936" w:header="288" w:footer="72" w:gutter="0"/>
          <w:cols w:space="708"/>
          <w:noEndnote/>
          <w:docGrid w:linePitch="360"/>
        </w:sectPr>
      </w:pPr>
    </w:p>
    <w:p w14:paraId="6E895BD8"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5" w:name="_Toc256000302"/>
      <w:r>
        <w:rPr>
          <w:rFonts w:ascii="TimesNewRoman" w:eastAsia="TimesNewRoman" w:hAnsi="TimesNewRoman" w:cs="TimesNewRoman"/>
          <w:b w:val="0"/>
          <w:i w:val="0"/>
          <w:color w:val="000000"/>
          <w:sz w:val="24"/>
        </w:rPr>
        <w:lastRenderedPageBreak/>
        <w:t>B. Details by type of operation</w:t>
      </w:r>
      <w:bookmarkEnd w:id="1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5100"/>
      </w:tblGrid>
      <w:tr w:rsidR="00B82D50" w14:paraId="4E3E29FD" w14:textId="77777777">
        <w:trPr>
          <w:gridAfter w:val="1"/>
          <w:wAfter w:w="360" w:type="dxa"/>
          <w:trHeight w:val="160"/>
        </w:trPr>
        <w:tc>
          <w:tcPr>
            <w:tcW w:w="70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269571DE" w14:textId="77777777" w:rsidR="00A77B3E" w:rsidRDefault="00A77B3E">
            <w:pPr>
              <w:spacing w:before="100"/>
              <w:rPr>
                <w:rFonts w:ascii="TimesNewRoman" w:eastAsia="TimesNewRoman" w:hAnsi="TimesNewRoman" w:cs="TimesNewRoman"/>
                <w:color w:val="000000"/>
              </w:rPr>
            </w:pPr>
          </w:p>
        </w:tc>
      </w:tr>
      <w:tr w:rsidR="00B82D50" w14:paraId="616E78FC"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1DDAEA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Operation type short title</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082B53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Accelerating Research to </w:t>
            </w:r>
            <w:proofErr w:type="spellStart"/>
            <w:r>
              <w:rPr>
                <w:rFonts w:ascii="TimesNewRoman" w:eastAsia="TimesNewRoman" w:hAnsi="TimesNewRoman" w:cs="TimesNewRoman"/>
                <w:color w:val="000000"/>
              </w:rPr>
              <w:t>Commercialisation</w:t>
            </w:r>
            <w:proofErr w:type="spellEnd"/>
            <w:r>
              <w:rPr>
                <w:rFonts w:ascii="TimesNewRoman" w:eastAsia="TimesNewRoman" w:hAnsi="TimesNewRoman" w:cs="TimesNewRoman"/>
                <w:color w:val="000000"/>
              </w:rPr>
              <w:t xml:space="preserve"> (ARC) Hubs</w:t>
            </w:r>
          </w:p>
        </w:tc>
      </w:tr>
      <w:tr w:rsidR="00B82D50" w14:paraId="698CD45C"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624475E"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managing authority received support from an external company to set out the simplified costs</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8D2C99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fldChar w:fldCharType="begin">
                <w:ffData>
                  <w:name w:val=""/>
                  <w:enabled/>
                  <w:calcOnExit w:val="0"/>
                  <w:checkBox>
                    <w:size w:val="20"/>
                    <w:default w:val="0"/>
                    <w:checked w:val="0"/>
                  </w:checkBox>
                </w:ffData>
              </w:fldChar>
            </w:r>
            <w:r>
              <w:rPr>
                <w:rFonts w:ascii="TimesNewRoman" w:eastAsia="TimesNewRoman" w:hAnsi="TimesNewRoman" w:cs="TimesNewRoman"/>
                <w:color w:val="000000"/>
              </w:rPr>
              <w:instrText xml:space="preserve"> FORMCHECKBOX </w:instrText>
            </w:r>
            <w:r>
              <w:rPr>
                <w:rFonts w:ascii="TimesNewRoman" w:eastAsia="TimesNewRoman" w:hAnsi="TimesNewRoman" w:cs="TimesNewRoman"/>
                <w:color w:val="000000"/>
              </w:rPr>
            </w:r>
            <w:r>
              <w:rPr>
                <w:rFonts w:ascii="TimesNewRoman" w:eastAsia="TimesNewRoman" w:hAnsi="TimesNewRoman" w:cs="TimesNewRoman"/>
                <w:color w:val="000000"/>
              </w:rPr>
              <w:fldChar w:fldCharType="separate"/>
            </w:r>
            <w:r>
              <w:rPr>
                <w:rFonts w:ascii="TimesNewRoman" w:eastAsia="TimesNewRoman" w:hAnsi="TimesNewRoman" w:cs="TimesNewRoman"/>
                <w:color w:val="000000"/>
              </w:rPr>
              <w:fldChar w:fldCharType="end"/>
            </w:r>
            <w:r>
              <w:rPr>
                <w:rFonts w:ascii="TimesNewRoman" w:eastAsia="TimesNewRoman" w:hAnsi="TimesNewRoman" w:cs="TimesNewRoman"/>
                <w:color w:val="000000"/>
              </w:rPr>
              <w:t xml:space="preserve"> </w:t>
            </w:r>
          </w:p>
        </w:tc>
      </w:tr>
      <w:tr w:rsidR="00B82D50" w14:paraId="503ECF34"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ABBCF3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Name of external company</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08A214" w14:textId="77777777" w:rsidR="00A77B3E" w:rsidRDefault="00A77B3E">
            <w:pPr>
              <w:spacing w:before="100"/>
              <w:rPr>
                <w:rFonts w:ascii="TimesNewRoman" w:eastAsia="TimesNewRoman" w:hAnsi="TimesNewRoman" w:cs="TimesNewRoman"/>
                <w:color w:val="000000"/>
              </w:rPr>
            </w:pPr>
          </w:p>
        </w:tc>
      </w:tr>
      <w:tr w:rsidR="00B82D50" w14:paraId="6F14608D"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49FD423"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 Description of the operation type including the timeline for implementation (1)</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299F8D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This type of operation is funded under the Accelerating Research to </w:t>
            </w:r>
            <w:proofErr w:type="spellStart"/>
            <w:r>
              <w:rPr>
                <w:rFonts w:ascii="TimesNewRoman" w:eastAsia="TimesNewRoman" w:hAnsi="TimesNewRoman" w:cs="TimesNewRoman"/>
                <w:color w:val="000000"/>
              </w:rPr>
              <w:t>Commercialisation</w:t>
            </w:r>
            <w:proofErr w:type="spellEnd"/>
            <w:r>
              <w:rPr>
                <w:rFonts w:ascii="TimesNewRoman" w:eastAsia="TimesNewRoman" w:hAnsi="TimesNewRoman" w:cs="TimesNewRoman"/>
                <w:color w:val="000000"/>
              </w:rPr>
              <w:t xml:space="preserve"> (ARC) Hub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 a new model for regional innovation and entrepreneurial training that will </w:t>
            </w:r>
            <w:proofErr w:type="spellStart"/>
            <w:r>
              <w:rPr>
                <w:rFonts w:ascii="TimesNewRoman" w:eastAsia="TimesNewRoman" w:hAnsi="TimesNewRoman" w:cs="TimesNewRoman"/>
                <w:color w:val="000000"/>
              </w:rPr>
              <w:t>catalyse</w:t>
            </w:r>
            <w:proofErr w:type="spellEnd"/>
            <w:r>
              <w:rPr>
                <w:rFonts w:ascii="TimesNewRoman" w:eastAsia="TimesNewRoman" w:hAnsi="TimesNewRoman" w:cs="TimesNewRoman"/>
                <w:color w:val="000000"/>
              </w:rPr>
              <w:t xml:space="preserve"> a step-change in the translation of cutting-edge publicly-funded research toward impact at a regional level. The ARC Hub Programme will enhance and accelerate the </w:t>
            </w:r>
            <w:proofErr w:type="spellStart"/>
            <w:r>
              <w:rPr>
                <w:rFonts w:ascii="TimesNewRoman" w:eastAsia="TimesNewRoman" w:hAnsi="TimesNewRoman" w:cs="TimesNewRoman"/>
                <w:color w:val="000000"/>
              </w:rPr>
              <w:t>commercialisation</w:t>
            </w:r>
            <w:proofErr w:type="spellEnd"/>
            <w:r>
              <w:rPr>
                <w:rFonts w:ascii="TimesNewRoman" w:eastAsia="TimesNewRoman" w:hAnsi="TimesNewRoman" w:cs="TimesNewRoman"/>
                <w:color w:val="000000"/>
              </w:rPr>
              <w:t xml:space="preserve"> of research to create new products, processes and services. </w:t>
            </w:r>
          </w:p>
          <w:p w14:paraId="77EB22F1" w14:textId="77777777" w:rsidR="00A77B3E" w:rsidRDefault="00A77B3E">
            <w:pPr>
              <w:spacing w:before="100"/>
              <w:rPr>
                <w:rFonts w:ascii="TimesNewRoman" w:eastAsia="TimesNewRoman" w:hAnsi="TimesNewRoman" w:cs="TimesNewRoman"/>
                <w:color w:val="000000"/>
              </w:rPr>
            </w:pPr>
          </w:p>
          <w:p w14:paraId="12A88086"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Each operation will support the establishment of a new regional ARC Hub focused on a specific thematic area and the delivery of a multi-annual work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over approximately five years. Each ARC Hub is an operation of strategic importance and each will involve a distributed consortium of Research Bodies working together under a single ARC Hub, and focused on </w:t>
            </w:r>
            <w:proofErr w:type="spellStart"/>
            <w:r>
              <w:rPr>
                <w:rFonts w:ascii="TimesNewRoman" w:eastAsia="TimesNewRoman" w:hAnsi="TimesNewRoman" w:cs="TimesNewRoman"/>
                <w:color w:val="000000"/>
              </w:rPr>
              <w:t>optimising</w:t>
            </w:r>
            <w:proofErr w:type="spellEnd"/>
            <w:r>
              <w:rPr>
                <w:rFonts w:ascii="TimesNewRoman" w:eastAsia="TimesNewRoman" w:hAnsi="TimesNewRoman" w:cs="TimesNewRoman"/>
                <w:color w:val="000000"/>
              </w:rPr>
              <w:t xml:space="preserve"> research translation and training future entrepreneurs through establishing new academic networks and bringing together stakeholders, while leveraging existing supports, as appropriate. It is expected that the ARC Hubs will foster a culture of innovation and entrepreneurship supported by processes that will </w:t>
            </w:r>
            <w:proofErr w:type="spellStart"/>
            <w:r>
              <w:rPr>
                <w:rFonts w:ascii="TimesNewRoman" w:eastAsia="TimesNewRoman" w:hAnsi="TimesNewRoman" w:cs="TimesNewRoman"/>
                <w:color w:val="000000"/>
              </w:rPr>
              <w:t>operationalise</w:t>
            </w:r>
            <w:proofErr w:type="spellEnd"/>
            <w:r>
              <w:rPr>
                <w:rFonts w:ascii="TimesNewRoman" w:eastAsia="TimesNewRoman" w:hAnsi="TimesNewRoman" w:cs="TimesNewRoman"/>
                <w:color w:val="000000"/>
              </w:rPr>
              <w:t xml:space="preserve"> and scale opportunity </w:t>
            </w:r>
            <w:proofErr w:type="spellStart"/>
            <w:r>
              <w:rPr>
                <w:rFonts w:ascii="TimesNewRoman" w:eastAsia="TimesNewRoman" w:hAnsi="TimesNewRoman" w:cs="TimesNewRoman"/>
                <w:color w:val="000000"/>
              </w:rPr>
              <w:t>realisation</w:t>
            </w:r>
            <w:proofErr w:type="spellEnd"/>
            <w:r>
              <w:rPr>
                <w:rFonts w:ascii="TimesNewRoman" w:eastAsia="TimesNewRoman" w:hAnsi="TimesNewRoman" w:cs="TimesNewRoman"/>
                <w:color w:val="000000"/>
              </w:rPr>
              <w:t xml:space="preserve"> to deliver transformative new products, processes and services to market.</w:t>
            </w:r>
          </w:p>
          <w:p w14:paraId="655749A7" w14:textId="77777777" w:rsidR="00A77B3E" w:rsidRDefault="00A77B3E">
            <w:pPr>
              <w:spacing w:before="100"/>
              <w:rPr>
                <w:rFonts w:ascii="TimesNewRoman" w:eastAsia="TimesNewRoman" w:hAnsi="TimesNewRoman" w:cs="TimesNewRoman"/>
                <w:color w:val="000000"/>
              </w:rPr>
            </w:pPr>
          </w:p>
          <w:p w14:paraId="60B1759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operations are consistent with the type of action described under Action RSO1.1.4 in the Regional Programme and will deliver on the following objectives:</w:t>
            </w:r>
          </w:p>
          <w:p w14:paraId="12FA021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1. To drive regional development by accelerating novel, cutting-edge research, towards commercial impact readiness, in areas aligned with Ireland’s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Strategy.</w:t>
            </w:r>
          </w:p>
          <w:p w14:paraId="1C2F287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2. To develop a cohort of entrepreneurial scientists and engineers with the skills to </w:t>
            </w:r>
            <w:proofErr w:type="spellStart"/>
            <w:r>
              <w:rPr>
                <w:rFonts w:ascii="TimesNewRoman" w:eastAsia="TimesNewRoman" w:hAnsi="TimesNewRoman" w:cs="TimesNewRoman"/>
                <w:color w:val="000000"/>
              </w:rPr>
              <w:t>realise</w:t>
            </w:r>
            <w:proofErr w:type="spellEnd"/>
            <w:r>
              <w:rPr>
                <w:rFonts w:ascii="TimesNewRoman" w:eastAsia="TimesNewRoman" w:hAnsi="TimesNewRoman" w:cs="TimesNewRoman"/>
                <w:color w:val="000000"/>
              </w:rPr>
              <w:t xml:space="preserve"> commercial opportunities from research activities.</w:t>
            </w:r>
          </w:p>
          <w:p w14:paraId="582F22B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3. To enhance and accelerate the translation of research to impact through the </w:t>
            </w:r>
            <w:proofErr w:type="spellStart"/>
            <w:r>
              <w:rPr>
                <w:rFonts w:ascii="TimesNewRoman" w:eastAsia="TimesNewRoman" w:hAnsi="TimesNewRoman" w:cs="TimesNewRoman"/>
                <w:color w:val="000000"/>
              </w:rPr>
              <w:t>commercialisation</w:t>
            </w:r>
            <w:proofErr w:type="spellEnd"/>
            <w:r>
              <w:rPr>
                <w:rFonts w:ascii="TimesNewRoman" w:eastAsia="TimesNewRoman" w:hAnsi="TimesNewRoman" w:cs="TimesNewRoman"/>
                <w:color w:val="000000"/>
              </w:rPr>
              <w:t xml:space="preserve"> process.</w:t>
            </w:r>
          </w:p>
          <w:p w14:paraId="23545C2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4. To successfully transition research projects into existing national and international closer-to-market supports, as appropriate.</w:t>
            </w:r>
          </w:p>
          <w:p w14:paraId="7660973D" w14:textId="77777777" w:rsidR="00A77B3E" w:rsidRDefault="00A77B3E">
            <w:pPr>
              <w:spacing w:before="100"/>
              <w:rPr>
                <w:rFonts w:ascii="TimesNewRoman" w:eastAsia="TimesNewRoman" w:hAnsi="TimesNewRoman" w:cs="TimesNewRoman"/>
                <w:color w:val="000000"/>
              </w:rPr>
            </w:pPr>
          </w:p>
          <w:p w14:paraId="7296F32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Funding for this type of operation will be awarded to Research Performing </w:t>
            </w:r>
            <w:proofErr w:type="spellStart"/>
            <w:r>
              <w:rPr>
                <w:rFonts w:ascii="TimesNewRoman" w:eastAsia="TimesNewRoman" w:hAnsi="TimesNewRoman" w:cs="TimesNewRoman"/>
                <w:color w:val="000000"/>
              </w:rPr>
              <w:t>Organisations</w:t>
            </w:r>
            <w:proofErr w:type="spellEnd"/>
            <w:r>
              <w:rPr>
                <w:rFonts w:ascii="TimesNewRoman" w:eastAsia="TimesNewRoman" w:hAnsi="TimesNewRoman" w:cs="TimesNewRoman"/>
                <w:color w:val="000000"/>
              </w:rPr>
              <w:t xml:space="preserve"> through an intermediate body – Research Ireland (formerly Science Foundation Ireland). </w:t>
            </w:r>
          </w:p>
          <w:p w14:paraId="23FAD98A" w14:textId="77777777" w:rsidR="00A77B3E" w:rsidRDefault="00A77B3E">
            <w:pPr>
              <w:spacing w:before="100"/>
              <w:rPr>
                <w:rFonts w:ascii="TimesNewRoman" w:eastAsia="TimesNewRoman" w:hAnsi="TimesNewRoman" w:cs="TimesNewRoman"/>
                <w:color w:val="000000"/>
              </w:rPr>
            </w:pPr>
          </w:p>
          <w:p w14:paraId="697849C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selection of operations is expected to be completed in Q4 2024. </w:t>
            </w:r>
          </w:p>
          <w:p w14:paraId="46B3AF3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operations are expected to be implemented over 60 months, ending in 2029.</w:t>
            </w:r>
          </w:p>
          <w:p w14:paraId="76567D5D" w14:textId="77777777" w:rsidR="00A77B3E" w:rsidRDefault="00A77B3E">
            <w:pPr>
              <w:spacing w:before="100"/>
              <w:rPr>
                <w:rFonts w:ascii="TimesNewRoman" w:eastAsia="TimesNewRoman" w:hAnsi="TimesNewRoman" w:cs="TimesNewRoman"/>
                <w:color w:val="000000"/>
              </w:rPr>
            </w:pPr>
          </w:p>
        </w:tc>
      </w:tr>
      <w:tr w:rsidR="00B82D50" w14:paraId="68BE24F7"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BC9068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2. Specific objective(s)</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A0BFB8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RSO1.1. Developing and enhancing research and innovation capacities and the uptake of advanced technologies</w:t>
            </w:r>
          </w:p>
        </w:tc>
      </w:tr>
      <w:tr w:rsidR="00B82D50" w14:paraId="7DAB401F"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19D024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12. Total amount (national and Union) expected to be reimbursed by the Commission on this basis</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5F6D42DF"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14,897,860.00</w:t>
            </w:r>
          </w:p>
        </w:tc>
      </w:tr>
      <w:tr w:rsidR="00B82D50" w14:paraId="5161F92D" w14:textId="77777777">
        <w:trPr>
          <w:trHeight w:hRule="exact" w:val="40"/>
        </w:trPr>
        <w:tc>
          <w:tcPr>
            <w:tcW w:w="35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2DC7E0AC" w14:textId="77777777" w:rsidR="00A77B3E" w:rsidRDefault="00A77B3E">
            <w:pPr>
              <w:spacing w:before="100"/>
              <w:rPr>
                <w:rFonts w:ascii="TimesNewRoman" w:eastAsia="TimesNewRoman" w:hAnsi="TimesNewRoman" w:cs="TimesNewRoman"/>
                <w:color w:val="000000"/>
              </w:rPr>
            </w:pPr>
          </w:p>
        </w:tc>
        <w:tc>
          <w:tcPr>
            <w:tcW w:w="70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6802E041" w14:textId="77777777" w:rsidR="00A77B3E" w:rsidRDefault="00A77B3E">
            <w:pPr>
              <w:spacing w:before="100"/>
              <w:rPr>
                <w:rFonts w:ascii="TimesNewRoman" w:eastAsia="TimesNewRoman" w:hAnsi="TimesNewRoman" w:cs="TimesNewRoman"/>
                <w:color w:val="000000"/>
              </w:rPr>
            </w:pPr>
          </w:p>
        </w:tc>
      </w:tr>
      <w:tr w:rsidR="00B82D50" w14:paraId="5B4FFE70" w14:textId="77777777">
        <w:trPr>
          <w:gridAfter w:val="1"/>
          <w:wAfter w:w="360" w:type="dxa"/>
          <w:trHeight w:val="160"/>
        </w:trPr>
        <w:tc>
          <w:tcPr>
            <w:tcW w:w="70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36A10BD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tc>
      </w:tr>
      <w:tr w:rsidR="00B82D50" w14:paraId="4CCF3E3E" w14:textId="77777777">
        <w:trPr>
          <w:trHeight w:val="160"/>
        </w:trPr>
        <w:tc>
          <w:tcPr>
            <w:tcW w:w="35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26E0E58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Indicators</w:t>
            </w:r>
          </w:p>
        </w:tc>
        <w:tc>
          <w:tcPr>
            <w:tcW w:w="70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1CD259E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 </w:t>
            </w:r>
          </w:p>
        </w:tc>
      </w:tr>
      <w:tr w:rsidR="00B82D50" w14:paraId="091DE9BB" w14:textId="77777777">
        <w:trPr>
          <w:trHeight w:hRule="exact" w:val="40"/>
        </w:trPr>
        <w:tc>
          <w:tcPr>
            <w:tcW w:w="35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4593B620" w14:textId="77777777" w:rsidR="00A77B3E" w:rsidRDefault="00A77B3E">
            <w:pPr>
              <w:spacing w:before="100"/>
              <w:rPr>
                <w:rFonts w:ascii="TimesNewRoman" w:eastAsia="TimesNewRoman" w:hAnsi="TimesNewRoman" w:cs="TimesNewRoman"/>
                <w:color w:val="000000"/>
              </w:rPr>
            </w:pPr>
          </w:p>
        </w:tc>
        <w:tc>
          <w:tcPr>
            <w:tcW w:w="70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4EBECF27" w14:textId="77777777" w:rsidR="00A77B3E" w:rsidRDefault="00A77B3E">
            <w:pPr>
              <w:spacing w:before="100"/>
              <w:rPr>
                <w:rFonts w:ascii="TimesNewRoman" w:eastAsia="TimesNewRoman" w:hAnsi="TimesNewRoman" w:cs="TimesNewRoman"/>
                <w:color w:val="000000"/>
              </w:rPr>
            </w:pPr>
          </w:p>
        </w:tc>
      </w:tr>
      <w:tr w:rsidR="00B82D50" w14:paraId="071A016B" w14:textId="77777777">
        <w:trPr>
          <w:trHeight w:val="160"/>
        </w:trPr>
        <w:tc>
          <w:tcPr>
            <w:tcW w:w="35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5B9C6740" w14:textId="77777777" w:rsidR="00A77B3E" w:rsidRDefault="00A77B3E">
            <w:pPr>
              <w:spacing w:before="100"/>
              <w:rPr>
                <w:rFonts w:ascii="TimesNewRoman" w:eastAsia="TimesNewRoman" w:hAnsi="TimesNewRoman" w:cs="TimesNewRoman"/>
                <w:color w:val="000000"/>
              </w:rPr>
            </w:pPr>
          </w:p>
        </w:tc>
        <w:tc>
          <w:tcPr>
            <w:tcW w:w="7000" w:type="dxa"/>
            <w:tcBorders>
              <w:top w:val="single" w:sz="4" w:space="0" w:color="FFFFFF"/>
              <w:left w:val="single" w:sz="4" w:space="0" w:color="FFFFFF"/>
              <w:bottom w:val="single" w:sz="4" w:space="0" w:color="FFFFFF"/>
              <w:right w:val="single" w:sz="4" w:space="0" w:color="FFFFFF"/>
            </w:tcBorders>
            <w:tcMar>
              <w:top w:w="0" w:type="dxa"/>
              <w:left w:w="60" w:type="dxa"/>
              <w:bottom w:w="80" w:type="dxa"/>
              <w:right w:w="60" w:type="dxa"/>
            </w:tcMar>
          </w:tcPr>
          <w:p w14:paraId="1A31E48F" w14:textId="77777777" w:rsidR="00A77B3E" w:rsidRDefault="00A77B3E">
            <w:pPr>
              <w:spacing w:before="100"/>
              <w:rPr>
                <w:rFonts w:ascii="TimesNewRoman" w:eastAsia="TimesNewRoman" w:hAnsi="TimesNewRoman" w:cs="TimesNewRoman"/>
                <w:color w:val="000000"/>
              </w:rPr>
            </w:pPr>
          </w:p>
        </w:tc>
      </w:tr>
      <w:tr w:rsidR="00B82D50" w14:paraId="35F54F2C"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BB5139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3. Indicator triggering reimbursement (2)</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CBCE6F6"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Total eligible direct costs excluding equipment costs, in EUR, also referred to as 'Modified Total Directs Costs’</w:t>
            </w:r>
          </w:p>
        </w:tc>
      </w:tr>
      <w:tr w:rsidR="00B82D50" w14:paraId="3F5DA89B"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EEB22B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4. Unit of measurement for the indicator triggering reimbursement</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3DA007F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n/a</w:t>
            </w:r>
          </w:p>
        </w:tc>
      </w:tr>
      <w:tr w:rsidR="00B82D50" w14:paraId="5B52AEF6"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71A060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5. Standard scale of unit cost, lump sum or flat rate</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C66B5A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Flat rate</w:t>
            </w:r>
          </w:p>
        </w:tc>
      </w:tr>
      <w:tr w:rsidR="00B82D50" w14:paraId="7730D2C8"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E0F0C8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6. Amount per unit of measurement or percentage (for flat rates) of the SCO</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726065D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30%</w:t>
            </w:r>
          </w:p>
        </w:tc>
      </w:tr>
      <w:tr w:rsidR="00B82D50" w14:paraId="4678945A"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133A7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7. Categories of costs covered by the unit cost, lump sum or flat rate</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7B6D22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Type of costs covered: Overheads.</w:t>
            </w:r>
          </w:p>
          <w:p w14:paraId="2BA903BA" w14:textId="77777777" w:rsidR="00A77B3E" w:rsidRDefault="00A77B3E">
            <w:pPr>
              <w:spacing w:before="100"/>
              <w:rPr>
                <w:rFonts w:ascii="TimesNewRoman" w:eastAsia="TimesNewRoman" w:hAnsi="TimesNewRoman" w:cs="TimesNewRoman"/>
                <w:color w:val="000000"/>
              </w:rPr>
            </w:pPr>
          </w:p>
          <w:p w14:paraId="0E00BD1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Definition for overheads: General Overheads are defined as the general facility made available by the Research Body for use by the Research Programme, including office and research space; utilities (i.e. electricity, heat, and water); technical and other support; and clerical and administrative staff and represents a contribution toward the </w:t>
            </w:r>
            <w:r>
              <w:rPr>
                <w:rFonts w:ascii="TimesNewRoman" w:eastAsia="TimesNewRoman" w:hAnsi="TimesNewRoman" w:cs="TimesNewRoman"/>
                <w:color w:val="000000"/>
              </w:rPr>
              <w:lastRenderedPageBreak/>
              <w:t xml:space="preserve">Indirect Costs incurred by the Research Body to host the Research Programme. </w:t>
            </w:r>
          </w:p>
          <w:p w14:paraId="4D627F2F" w14:textId="77777777" w:rsidR="00A77B3E" w:rsidRDefault="00A77B3E">
            <w:pPr>
              <w:spacing w:before="100"/>
              <w:rPr>
                <w:rFonts w:ascii="TimesNewRoman" w:eastAsia="TimesNewRoman" w:hAnsi="TimesNewRoman" w:cs="TimesNewRoman"/>
                <w:color w:val="000000"/>
              </w:rPr>
            </w:pPr>
          </w:p>
          <w:p w14:paraId="56B5FC86"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flat rate covers all indirect costs and no other indirect costs can be claimed additionally.   </w:t>
            </w:r>
          </w:p>
          <w:p w14:paraId="1EA58157" w14:textId="77777777" w:rsidR="00A77B3E" w:rsidRDefault="00A77B3E">
            <w:pPr>
              <w:spacing w:before="100"/>
              <w:rPr>
                <w:rFonts w:ascii="TimesNewRoman" w:eastAsia="TimesNewRoman" w:hAnsi="TimesNewRoman" w:cs="TimesNewRoman"/>
                <w:color w:val="000000"/>
              </w:rPr>
            </w:pPr>
          </w:p>
          <w:p w14:paraId="4E5FA63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Equipment costs, that are not included in the basis to calculate the flat rate can also be claimed additionally.</w:t>
            </w:r>
          </w:p>
        </w:tc>
      </w:tr>
      <w:tr w:rsidR="00B82D50" w14:paraId="0A47D6A0"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1AE00AA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8. Do these categories of costs cover all eligible expenditure for the operation?</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00566D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No</w:t>
            </w:r>
          </w:p>
        </w:tc>
      </w:tr>
      <w:tr w:rsidR="00B82D50" w14:paraId="2FBFB9AC"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01015D4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9. Adjustment(s) method (3)</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64BD5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n/a</w:t>
            </w:r>
          </w:p>
        </w:tc>
      </w:tr>
      <w:tr w:rsidR="00B82D50" w14:paraId="42896BF8"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942DA61"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10. Verification of the achievement of the units delivered</w:t>
            </w:r>
          </w:p>
          <w:p w14:paraId="44C0AA1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describe what document(s)/system will be used to verify the achievement of the units delivered</w:t>
            </w:r>
          </w:p>
          <w:p w14:paraId="2E4A3DA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describe what will be checked and by whom during management verifications</w:t>
            </w:r>
          </w:p>
          <w:p w14:paraId="712AF3F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describe what arrangements will be made to collect and store relevant data/documents</w:t>
            </w:r>
          </w:p>
          <w:p w14:paraId="17DE70ED" w14:textId="77777777" w:rsidR="00A77B3E" w:rsidRDefault="00A77B3E">
            <w:pPr>
              <w:spacing w:before="100"/>
              <w:rPr>
                <w:rFonts w:ascii="TimesNewRoman" w:eastAsia="TimesNewRoman" w:hAnsi="TimesNewRoman" w:cs="TimesNewRoman"/>
                <w:color w:val="000000"/>
              </w:rPr>
            </w:pP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4B9EE31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Costs will be declared by the beneficiary to the Intermediate Body and onward to the Managing Authority as the basis of an application for payment.</w:t>
            </w:r>
          </w:p>
          <w:p w14:paraId="297A4BD6" w14:textId="77777777" w:rsidR="00A77B3E" w:rsidRDefault="00A77B3E">
            <w:pPr>
              <w:spacing w:before="100"/>
              <w:rPr>
                <w:rFonts w:ascii="TimesNewRoman" w:eastAsia="TimesNewRoman" w:hAnsi="TimesNewRoman" w:cs="TimesNewRoman"/>
                <w:color w:val="000000"/>
              </w:rPr>
            </w:pPr>
          </w:p>
          <w:p w14:paraId="53BC14D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These costs and the supporting documentation will be checked as part of the standard management verification process. i.e. the Intermediate Body will be checking that the flat rate is calculated properly and applied in a consistent manner and that the basis for calculation (Eligible “Modified” Total Direct Costs) is calculated adequately. </w:t>
            </w:r>
          </w:p>
          <w:p w14:paraId="7178CD4D" w14:textId="77777777" w:rsidR="00A77B3E" w:rsidRDefault="00A77B3E">
            <w:pPr>
              <w:spacing w:before="100"/>
              <w:rPr>
                <w:rFonts w:ascii="TimesNewRoman" w:eastAsia="TimesNewRoman" w:hAnsi="TimesNewRoman" w:cs="TimesNewRoman"/>
                <w:color w:val="000000"/>
              </w:rPr>
            </w:pPr>
          </w:p>
          <w:p w14:paraId="4269089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indirect costs covered by the flat rate (overheads) shall not be checked. </w:t>
            </w:r>
          </w:p>
          <w:p w14:paraId="527A9DC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data will be collected by the Intermediate Body and stored in the relevant electronic data exchange systems.</w:t>
            </w:r>
          </w:p>
          <w:p w14:paraId="4503EC34" w14:textId="77777777" w:rsidR="00A77B3E" w:rsidRDefault="00A77B3E">
            <w:pPr>
              <w:spacing w:before="100"/>
              <w:rPr>
                <w:rFonts w:ascii="TimesNewRoman" w:eastAsia="TimesNewRoman" w:hAnsi="TimesNewRoman" w:cs="TimesNewRoman"/>
                <w:color w:val="000000"/>
              </w:rPr>
            </w:pPr>
          </w:p>
        </w:tc>
      </w:tr>
      <w:tr w:rsidR="00B82D50" w14:paraId="09B1D576" w14:textId="77777777">
        <w:trPr>
          <w:trHeight w:val="160"/>
        </w:trPr>
        <w:tc>
          <w:tcPr>
            <w:tcW w:w="35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2CFFE43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11. Possible perverse incentives, mitigating measures(4) and the estimated level of risk (high/medium/low)</w:t>
            </w:r>
          </w:p>
        </w:tc>
        <w:tc>
          <w:tcPr>
            <w:tcW w:w="7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tcPr>
          <w:p w14:paraId="6FE29A4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risk of perverse incentive is assessed as low. This flat-rate has been used for a long time by the Intermediate Body in national schemes without negative effects. </w:t>
            </w:r>
          </w:p>
          <w:p w14:paraId="634635A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risk of beneficiaries declaring costs twice (both as direct and indirect cost) is assessed as low: the beneficiaries are already used to the flat-rate and the Intermediate Body is also used to verifying the calculations. </w:t>
            </w:r>
          </w:p>
          <w:p w14:paraId="1785B5DE"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Managing Authority will also verify that the correct formula has been applied as part of the MA verification checklist.</w:t>
            </w:r>
          </w:p>
          <w:p w14:paraId="7F9EC9D4" w14:textId="77777777" w:rsidR="00A77B3E" w:rsidRDefault="00A77B3E">
            <w:pPr>
              <w:spacing w:before="100"/>
              <w:rPr>
                <w:rFonts w:ascii="TimesNewRoman" w:eastAsia="TimesNewRoman" w:hAnsi="TimesNewRoman" w:cs="TimesNewRoman"/>
                <w:color w:val="000000"/>
              </w:rPr>
            </w:pPr>
          </w:p>
        </w:tc>
      </w:tr>
    </w:tbl>
    <w:p w14:paraId="0656C4B2"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(1) Envisaged starting date of the selection of operations and envisaged final date of their completion (ref Article 63(5) CPR).</w:t>
      </w:r>
    </w:p>
    <w:p w14:paraId="49C4965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lastRenderedPageBreak/>
        <w:t xml:space="preserve">(2) For operations encompassing several simplified cost options covering different categories of costs, different projects or </w:t>
      </w:r>
      <w:proofErr w:type="spellStart"/>
      <w:r>
        <w:rPr>
          <w:rFonts w:ascii="TimesNewRoman" w:eastAsia="TimesNewRoman" w:hAnsi="TimesNewRoman" w:cs="TimesNewRoman"/>
          <w:color w:val="000000"/>
        </w:rPr>
        <w:t>sucessive</w:t>
      </w:r>
      <w:proofErr w:type="spellEnd"/>
      <w:r>
        <w:rPr>
          <w:rFonts w:ascii="TimesNewRoman" w:eastAsia="TimesNewRoman" w:hAnsi="TimesNewRoman" w:cs="TimesNewRoman"/>
          <w:color w:val="000000"/>
        </w:rPr>
        <w:t xml:space="preserve"> phases of an operation, the fields 3 to 11 need to be filled in for each indicator triggering reimbursement.</w:t>
      </w:r>
    </w:p>
    <w:p w14:paraId="15C75701"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(3) If applicable, indicate the frequency and timing of the adjustments and a clear reference to a specific indicator (including a link to the website where the indicator is published, if applicable).</w:t>
      </w:r>
    </w:p>
    <w:p w14:paraId="1B616FF9"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(4) Are there any potential negative implications on the quality of the supported operations and, if so, what measures (e.g. quality assurance) will be taken to offset this risk?</w:t>
      </w:r>
    </w:p>
    <w:p w14:paraId="04115630" w14:textId="77777777" w:rsidR="00A77B3E" w:rsidRDefault="00A77B3E">
      <w:pPr>
        <w:spacing w:before="100"/>
        <w:rPr>
          <w:rFonts w:ascii="TimesNewRoman" w:eastAsia="TimesNewRoman" w:hAnsi="TimesNewRoman" w:cs="TimesNewRoman"/>
          <w:color w:val="000000"/>
        </w:rPr>
      </w:pPr>
    </w:p>
    <w:p w14:paraId="282421CB"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6" w:name="_Toc256000303"/>
      <w:r>
        <w:rPr>
          <w:rFonts w:ascii="TimesNewRoman" w:eastAsia="TimesNewRoman" w:hAnsi="TimesNewRoman" w:cs="TimesNewRoman"/>
          <w:b w:val="0"/>
          <w:i w:val="0"/>
          <w:color w:val="000000"/>
          <w:sz w:val="24"/>
        </w:rPr>
        <w:t>C. Calculation of the standard scale of unit costs, lump sums or flat rates</w:t>
      </w:r>
      <w:bookmarkEnd w:id="146"/>
    </w:p>
    <w:p w14:paraId="0D311E9F"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7" w:name="_Toc256000304"/>
      <w:r>
        <w:rPr>
          <w:rFonts w:ascii="TimesNewRoman" w:eastAsia="TimesNewRoman" w:hAnsi="TimesNewRoman" w:cs="TimesNewRoman"/>
          <w:b w:val="0"/>
          <w:i w:val="0"/>
          <w:color w:val="000000"/>
          <w:sz w:val="24"/>
        </w:rPr>
        <w:t>1. Source of data used to calculate the standard scale of unit costs, lump sums or flat rates (who produced, collected and recorded the data, where the data is stored, cut-off dates, validation, etc.)</w:t>
      </w:r>
      <w:bookmarkEnd w:id="147"/>
    </w:p>
    <w:p w14:paraId="3070843E"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602A597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78E0720" w14:textId="77777777" w:rsidR="00A77B3E" w:rsidRDefault="00A77B3E">
            <w:pPr>
              <w:spacing w:before="100"/>
              <w:rPr>
                <w:rFonts w:ascii="TimesNewRoman" w:eastAsia="TimesNewRoman" w:hAnsi="TimesNewRoman" w:cs="TimesNewRoman"/>
                <w:color w:val="000000"/>
                <w:sz w:val="0"/>
              </w:rPr>
            </w:pPr>
          </w:p>
          <w:p w14:paraId="4EB4573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Regulation (EU) 2021/1060 Art 94.2 states that “</w:t>
            </w:r>
            <w:r>
              <w:rPr>
                <w:rStyle w:val="Emphasis"/>
                <w:rFonts w:ascii="TimesNewRoman" w:eastAsia="TimesNewRoman" w:hAnsi="TimesNewRoman" w:cs="TimesNewRoman"/>
                <w:i w:val="0"/>
                <w:color w:val="000000"/>
              </w:rPr>
              <w:t>The amounts and rates proposed by the Member State shall be established on the basis of the following and assessed by the audit authority</w:t>
            </w:r>
            <w:r>
              <w:rPr>
                <w:rFonts w:ascii="TimesNewRoman" w:eastAsia="TimesNewRoman" w:hAnsi="TimesNewRoman" w:cs="TimesNewRoman"/>
                <w:color w:val="000000"/>
              </w:rPr>
              <w:t>” and point (d) includes the option where “</w:t>
            </w:r>
            <w:r>
              <w:rPr>
                <w:rStyle w:val="Emphasis"/>
                <w:rFonts w:ascii="TimesNewRoman" w:eastAsia="TimesNewRoman" w:hAnsi="TimesNewRoman" w:cs="TimesNewRoman"/>
                <w:i w:val="0"/>
                <w:color w:val="000000"/>
              </w:rPr>
              <w:t>the rules on corresponding unit costs, lump sums and flat rates applied under schemes for grants funded entirely by the Member State for a similar type of operation</w:t>
            </w:r>
            <w:r>
              <w:rPr>
                <w:rFonts w:ascii="TimesNewRoman" w:eastAsia="TimesNewRoman" w:hAnsi="TimesNewRoman" w:cs="TimesNewRoman"/>
                <w:color w:val="000000"/>
              </w:rPr>
              <w:t>”. </w:t>
            </w:r>
          </w:p>
          <w:p w14:paraId="7782340A"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This SCO has been applied under schemes for grants funded entirely by the Member State for a similar type of operation since 2003. It is used by numerous state bodies including Science Foundation Ireland (SFI), the Irish Research Council, Enterprise Ireland and the Health Research Board. It was introduced in line with recommendations made in the Report of the Group on Research Overheads (</w:t>
            </w:r>
            <w:proofErr w:type="spellStart"/>
            <w:r>
              <w:rPr>
                <w:rFonts w:ascii="TimesNewRoman" w:eastAsia="TimesNewRoman" w:hAnsi="TimesNewRoman" w:cs="TimesNewRoman"/>
                <w:color w:val="000000"/>
              </w:rPr>
              <w:t>Forfás</w:t>
            </w:r>
            <w:proofErr w:type="spellEnd"/>
            <w:r>
              <w:rPr>
                <w:rFonts w:ascii="TimesNewRoman" w:eastAsia="TimesNewRoman" w:hAnsi="TimesNewRoman" w:cs="TimesNewRoman"/>
                <w:color w:val="000000"/>
              </w:rPr>
              <w:t xml:space="preserve"> and the Higher Education Authority, Dublin, July 2003). </w:t>
            </w:r>
            <w:r>
              <w:rPr>
                <w:rFonts w:ascii="TimesNewRoman" w:eastAsia="TimesNewRoman" w:hAnsi="TimesNewRoman" w:cs="TimesNewRoman"/>
                <w:color w:val="000000"/>
                <w:u w:val="single"/>
              </w:rPr>
              <w:t>https://hea.ie/resources/publications/page/18/</w:t>
            </w:r>
          </w:p>
          <w:p w14:paraId="59134EC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Science Foundation Ireland uses this SCO for all schemes for grants funded entirely by the Member State for a similar type of operation. Section 3 of SFI’s “Grant Budget Policy” document (latest version March 2023) sets out the SFI policy on payment of General Overheads.</w:t>
            </w:r>
          </w:p>
          <w:p w14:paraId="54C21EE7"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https://www.sfi.ie/funding/sfi-policies-and-guidance/budget-finance-related-policies/SFI-Grant-Budget-Policy-March-2023-(5).pdf</w:t>
            </w:r>
          </w:p>
          <w:p w14:paraId="3628725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w:t>
            </w:r>
            <w:r>
              <w:rPr>
                <w:rStyle w:val="Emphasis"/>
                <w:rFonts w:ascii="TimesNewRoman" w:eastAsia="TimesNewRoman" w:hAnsi="TimesNewRoman" w:cs="TimesNewRoman"/>
                <w:i w:val="0"/>
                <w:color w:val="000000"/>
              </w:rPr>
              <w:t>General Overheads are defined as the general facility made available by the Research Body for use by the Research Programme, including office and research space; utilities (i.e. electricity, heat, and water); technical and other support; and clerical and administrative staff and represents a contribution toward the Indirect Costs incurred by the Research Body to host the Research Programme.</w:t>
            </w:r>
          </w:p>
          <w:p w14:paraId="48B82995" w14:textId="77777777" w:rsidR="00A77B3E" w:rsidRDefault="00000000">
            <w:pPr>
              <w:spacing w:before="100"/>
              <w:rPr>
                <w:rFonts w:ascii="TimesNewRoman" w:eastAsia="TimesNewRoman" w:hAnsi="TimesNewRoman" w:cs="TimesNewRoman"/>
                <w:color w:val="000000"/>
              </w:rPr>
            </w:pPr>
            <w:r>
              <w:rPr>
                <w:rStyle w:val="Emphasis"/>
                <w:rFonts w:ascii="TimesNewRoman" w:eastAsia="TimesNewRoman" w:hAnsi="TimesNewRoman" w:cs="TimesNewRoman"/>
                <w:i w:val="0"/>
                <w:color w:val="000000"/>
              </w:rPr>
              <w:t>Overheads are payable to the Research Body up to a maximum sum equivalent to a percentage of Direct Costs, as defined in accordance with any guidance issued by SFI in this respect from time to time. In the absence of any such guidance, 30% of the Direct Costs will apply, excluding there from the cost of all equipment identified in the application, also referred to as "Modified" Total Directs Costs.</w:t>
            </w:r>
            <w:r>
              <w:rPr>
                <w:rFonts w:ascii="TimesNewRoman" w:eastAsia="TimesNewRoman" w:hAnsi="TimesNewRoman" w:cs="TimesNewRoman"/>
                <w:color w:val="000000"/>
              </w:rPr>
              <w:t>”</w:t>
            </w:r>
          </w:p>
          <w:p w14:paraId="5C20242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A full list of SFI funding calls is available on the SFI website here: </w:t>
            </w:r>
          </w:p>
          <w:p w14:paraId="5816C826"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https://www.sfi.ie/funding/funding-calls/</w:t>
            </w:r>
          </w:p>
          <w:p w14:paraId="7D09428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type of operation to be supported under the Regional Programme and to which this SCO will be applied is similar to operations funded under many of these calls but in particular to operations funded under the SFI Research </w:t>
            </w:r>
            <w:proofErr w:type="spellStart"/>
            <w:r>
              <w:rPr>
                <w:rFonts w:ascii="TimesNewRoman" w:eastAsia="TimesNewRoman" w:hAnsi="TimesNewRoman" w:cs="TimesNewRoman"/>
                <w:color w:val="000000"/>
              </w:rPr>
              <w:t>Centres</w:t>
            </w:r>
            <w:proofErr w:type="spellEnd"/>
            <w:r>
              <w:rPr>
                <w:rFonts w:ascii="TimesNewRoman" w:eastAsia="TimesNewRoman" w:hAnsi="TimesNewRoman" w:cs="TimesNewRoman"/>
                <w:color w:val="000000"/>
              </w:rPr>
              <w:t xml:space="preserve"> call published on the SFI website here:</w:t>
            </w:r>
          </w:p>
          <w:p w14:paraId="674B18E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u w:val="single"/>
              </w:rPr>
              <w:t>https://www.sfi.ie/funding/funding-calls/research-centres-phase-2/index.xml</w:t>
            </w:r>
          </w:p>
          <w:p w14:paraId="47063ABE" w14:textId="77777777" w:rsidR="00A77B3E" w:rsidRDefault="00A77B3E">
            <w:pPr>
              <w:spacing w:before="100"/>
              <w:rPr>
                <w:rFonts w:ascii="TimesNewRoman" w:eastAsia="TimesNewRoman" w:hAnsi="TimesNewRoman" w:cs="TimesNewRoman"/>
                <w:color w:val="000000"/>
              </w:rPr>
            </w:pPr>
          </w:p>
          <w:p w14:paraId="55085E0B" w14:textId="77777777" w:rsidR="00A77B3E" w:rsidRDefault="00000000">
            <w:pPr>
              <w:spacing w:before="100"/>
              <w:rPr>
                <w:rFonts w:ascii="TimesNewRoman" w:eastAsia="TimesNewRoman" w:hAnsi="TimesNewRoman" w:cs="TimesNewRoman"/>
                <w:color w:val="000000"/>
              </w:rPr>
            </w:pPr>
            <w:r>
              <w:rPr>
                <w:rStyle w:val="Emphasis"/>
                <w:rFonts w:ascii="TimesNewRoman" w:eastAsia="TimesNewRoman" w:hAnsi="TimesNewRoman" w:cs="TimesNewRoman"/>
                <w:i w:val="0"/>
                <w:color w:val="000000"/>
              </w:rPr>
              <w:t xml:space="preserve">Note: The activities and functions of Science Foundation Ireland (SFI) and the Irish Research Council (IRC) are currently being amalgamated within Research Ireland - a new Research and Innovation funding agency established in August 2024 to create a new competitive funding agency for research and innovation. Research Ireland will </w:t>
            </w:r>
            <w:proofErr w:type="spellStart"/>
            <w:r>
              <w:rPr>
                <w:rStyle w:val="Emphasis"/>
                <w:rFonts w:ascii="TimesNewRoman" w:eastAsia="TimesNewRoman" w:hAnsi="TimesNewRoman" w:cs="TimesNewRoman"/>
                <w:i w:val="0"/>
                <w:color w:val="000000"/>
              </w:rPr>
              <w:t>capitalise</w:t>
            </w:r>
            <w:proofErr w:type="spellEnd"/>
            <w:r>
              <w:rPr>
                <w:rStyle w:val="Emphasis"/>
                <w:rFonts w:ascii="TimesNewRoman" w:eastAsia="TimesNewRoman" w:hAnsi="TimesNewRoman" w:cs="TimesNewRoman"/>
                <w:i w:val="0"/>
                <w:color w:val="000000"/>
              </w:rPr>
              <w:t xml:space="preserve"> on the recognised strengths of the Irish Research Council and Science Foundation Ireland in driving world class research and innovation in Ireland. Research </w:t>
            </w:r>
            <w:r>
              <w:rPr>
                <w:rStyle w:val="Emphasis"/>
                <w:rFonts w:ascii="TimesNewRoman" w:eastAsia="TimesNewRoman" w:hAnsi="TimesNewRoman" w:cs="TimesNewRoman"/>
                <w:i w:val="0"/>
                <w:color w:val="000000"/>
              </w:rPr>
              <w:lastRenderedPageBreak/>
              <w:t>Ireland will fund research and innovation excellence in all disciplines across the spectrum of Arts, Engineering, Humanities, Mathematics, Science, Social Sciences, Technology and others.</w:t>
            </w:r>
          </w:p>
          <w:p w14:paraId="3D0CAFBA" w14:textId="77777777" w:rsidR="00A77B3E" w:rsidRDefault="00A77B3E">
            <w:pPr>
              <w:spacing w:before="100"/>
              <w:rPr>
                <w:rFonts w:ascii="TimesNewRoman" w:eastAsia="TimesNewRoman" w:hAnsi="TimesNewRoman" w:cs="TimesNewRoman"/>
                <w:color w:val="000000"/>
                <w:sz w:val="6"/>
              </w:rPr>
            </w:pPr>
          </w:p>
          <w:p w14:paraId="2ABE4358" w14:textId="77777777" w:rsidR="00A77B3E" w:rsidRDefault="00A77B3E">
            <w:pPr>
              <w:spacing w:before="100"/>
              <w:rPr>
                <w:rFonts w:ascii="TimesNewRoman" w:eastAsia="TimesNewRoman" w:hAnsi="TimesNewRoman" w:cs="TimesNewRoman"/>
                <w:color w:val="000000"/>
                <w:sz w:val="6"/>
              </w:rPr>
            </w:pPr>
          </w:p>
        </w:tc>
      </w:tr>
    </w:tbl>
    <w:p w14:paraId="53B7038B" w14:textId="77777777" w:rsidR="00A77B3E" w:rsidRDefault="00A77B3E">
      <w:pPr>
        <w:spacing w:before="100"/>
        <w:rPr>
          <w:rFonts w:ascii="TimesNewRoman" w:eastAsia="TimesNewRoman" w:hAnsi="TimesNewRoman" w:cs="TimesNewRoman"/>
          <w:color w:val="000000"/>
        </w:rPr>
      </w:pPr>
    </w:p>
    <w:p w14:paraId="2F0FD91E"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8" w:name="_Toc256000305"/>
      <w:r>
        <w:rPr>
          <w:rFonts w:ascii="TimesNewRoman" w:eastAsia="TimesNewRoman" w:hAnsi="TimesNewRoman" w:cs="TimesNewRoman"/>
          <w:b w:val="0"/>
          <w:i w:val="0"/>
          <w:color w:val="000000"/>
          <w:sz w:val="24"/>
        </w:rPr>
        <w:t>2. Please specify why the proposed method and calculation based on Article 94(2) CPR is relevant to the type of operation.</w:t>
      </w:r>
      <w:bookmarkEnd w:id="148"/>
    </w:p>
    <w:p w14:paraId="0E0923C6"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0FC7566D"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FAE2E89" w14:textId="77777777" w:rsidR="00A77B3E" w:rsidRDefault="00A77B3E">
            <w:pPr>
              <w:spacing w:before="100"/>
              <w:rPr>
                <w:rFonts w:ascii="TimesNewRoman" w:eastAsia="TimesNewRoman" w:hAnsi="TimesNewRoman" w:cs="TimesNewRoman"/>
                <w:color w:val="000000"/>
                <w:sz w:val="0"/>
              </w:rPr>
            </w:pPr>
          </w:p>
          <w:p w14:paraId="283BFBD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flat-rate used for the calculation of overheads on operations co-funded under the ERDF Regional Programme and delivered under schemes managed by Science Foundation Ireland / Research Ireland as an Intermediate Body should be consistent with the flat-rate used for all other schemes managed by Science Foundation Ireland / Research Ireland for similar types of operations and funded entirely by the Member State. To do otherwise could make ERDF co-funded schemes less attractive and could be seen to place a burden of costs on the beneficiary or on other nationally funded projects.</w:t>
            </w:r>
          </w:p>
          <w:p w14:paraId="20381D53" w14:textId="77777777" w:rsidR="00A77B3E" w:rsidRDefault="00A77B3E">
            <w:pPr>
              <w:spacing w:before="100"/>
              <w:rPr>
                <w:rFonts w:ascii="TimesNewRoman" w:eastAsia="TimesNewRoman" w:hAnsi="TimesNewRoman" w:cs="TimesNewRoman"/>
                <w:color w:val="000000"/>
                <w:sz w:val="6"/>
              </w:rPr>
            </w:pPr>
          </w:p>
          <w:p w14:paraId="23C9CCED" w14:textId="77777777" w:rsidR="00A77B3E" w:rsidRDefault="00A77B3E">
            <w:pPr>
              <w:spacing w:before="100"/>
              <w:rPr>
                <w:rFonts w:ascii="TimesNewRoman" w:eastAsia="TimesNewRoman" w:hAnsi="TimesNewRoman" w:cs="TimesNewRoman"/>
                <w:color w:val="000000"/>
                <w:sz w:val="6"/>
              </w:rPr>
            </w:pPr>
          </w:p>
        </w:tc>
      </w:tr>
    </w:tbl>
    <w:p w14:paraId="6D4B3B28" w14:textId="77777777" w:rsidR="00A77B3E" w:rsidRDefault="00A77B3E">
      <w:pPr>
        <w:spacing w:before="100"/>
        <w:rPr>
          <w:rFonts w:ascii="TimesNewRoman" w:eastAsia="TimesNewRoman" w:hAnsi="TimesNewRoman" w:cs="TimesNewRoman"/>
          <w:color w:val="000000"/>
        </w:rPr>
      </w:pPr>
    </w:p>
    <w:p w14:paraId="7A296A22" w14:textId="77777777" w:rsidR="00A77B3E" w:rsidRDefault="00000000">
      <w:pPr>
        <w:pStyle w:val="Heading2"/>
        <w:spacing w:before="100" w:after="0"/>
        <w:rPr>
          <w:rFonts w:ascii="TimesNewRoman" w:eastAsia="TimesNewRoman" w:hAnsi="TimesNewRoman" w:cs="TimesNewRoman"/>
          <w:b w:val="0"/>
          <w:i w:val="0"/>
          <w:color w:val="000000"/>
          <w:sz w:val="24"/>
        </w:rPr>
      </w:pPr>
      <w:bookmarkStart w:id="149" w:name="_Toc256000306"/>
      <w:r>
        <w:rPr>
          <w:rFonts w:ascii="TimesNewRoman" w:eastAsia="TimesNewRoman" w:hAnsi="TimesNewRoman" w:cs="TimesNewRoman"/>
          <w:b w:val="0"/>
          <w:i w:val="0"/>
          <w:color w:val="000000"/>
          <w:sz w:val="24"/>
        </w:rPr>
        <w:t>3. Please specify how the calculations were made, in particular including any assumptions made in terms of quality or quantities. Where relevant, statistical evidence and benchmarks should be used and, if requested, provided in a format that is usable by the Commission.</w:t>
      </w:r>
      <w:bookmarkEnd w:id="149"/>
    </w:p>
    <w:p w14:paraId="21D99D41"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50D69277"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47286AE" w14:textId="77777777" w:rsidR="00A77B3E" w:rsidRDefault="00A77B3E">
            <w:pPr>
              <w:spacing w:before="100"/>
              <w:rPr>
                <w:rFonts w:ascii="TimesNewRoman" w:eastAsia="TimesNewRoman" w:hAnsi="TimesNewRoman" w:cs="TimesNewRoman"/>
                <w:color w:val="000000"/>
                <w:sz w:val="0"/>
              </w:rPr>
            </w:pPr>
          </w:p>
          <w:p w14:paraId="28A5804D"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flat-rate has been established in accordance with point (d) of Article 94.2 Regulation (EU) 2021/1060, i.e., it is consistent with the “</w:t>
            </w:r>
            <w:r>
              <w:rPr>
                <w:rStyle w:val="Emphasis"/>
                <w:rFonts w:ascii="TimesNewRoman" w:eastAsia="TimesNewRoman" w:hAnsi="TimesNewRoman" w:cs="TimesNewRoman"/>
                <w:i w:val="0"/>
                <w:color w:val="000000"/>
              </w:rPr>
              <w:t>the rules on corresponding unit costs, lump sums and flat rates applied under schemes for grants funded entirely by the Member State for a similar type of operation”.</w:t>
            </w:r>
          </w:p>
          <w:p w14:paraId="7037E190" w14:textId="77777777" w:rsidR="00A77B3E" w:rsidRDefault="00A77B3E">
            <w:pPr>
              <w:spacing w:before="100"/>
              <w:rPr>
                <w:rFonts w:ascii="TimesNewRoman" w:eastAsia="TimesNewRoman" w:hAnsi="TimesNewRoman" w:cs="TimesNewRoman"/>
                <w:color w:val="000000"/>
                <w:sz w:val="6"/>
              </w:rPr>
            </w:pPr>
          </w:p>
          <w:p w14:paraId="2AD5381E" w14:textId="77777777" w:rsidR="00A77B3E" w:rsidRDefault="00A77B3E">
            <w:pPr>
              <w:spacing w:before="100"/>
              <w:rPr>
                <w:rFonts w:ascii="TimesNewRoman" w:eastAsia="TimesNewRoman" w:hAnsi="TimesNewRoman" w:cs="TimesNewRoman"/>
                <w:color w:val="000000"/>
                <w:sz w:val="6"/>
              </w:rPr>
            </w:pPr>
          </w:p>
        </w:tc>
      </w:tr>
    </w:tbl>
    <w:p w14:paraId="52BDC894" w14:textId="77777777" w:rsidR="00A77B3E" w:rsidRDefault="00A77B3E">
      <w:pPr>
        <w:spacing w:before="100"/>
        <w:rPr>
          <w:rFonts w:ascii="TimesNewRoman" w:eastAsia="TimesNewRoman" w:hAnsi="TimesNewRoman" w:cs="TimesNewRoman"/>
          <w:color w:val="000000"/>
        </w:rPr>
      </w:pPr>
    </w:p>
    <w:p w14:paraId="55C4BE70" w14:textId="77777777" w:rsidR="00A77B3E" w:rsidRDefault="00000000">
      <w:pPr>
        <w:pStyle w:val="Heading2"/>
        <w:spacing w:before="100" w:after="0"/>
        <w:rPr>
          <w:rFonts w:ascii="TimesNewRoman" w:eastAsia="TimesNewRoman" w:hAnsi="TimesNewRoman" w:cs="TimesNewRoman"/>
          <w:b w:val="0"/>
          <w:i w:val="0"/>
          <w:color w:val="000000"/>
          <w:sz w:val="24"/>
        </w:rPr>
      </w:pPr>
      <w:bookmarkStart w:id="150" w:name="_Toc256000307"/>
      <w:r>
        <w:rPr>
          <w:rFonts w:ascii="TimesNewRoman" w:eastAsia="TimesNewRoman" w:hAnsi="TimesNewRoman" w:cs="TimesNewRoman"/>
          <w:b w:val="0"/>
          <w:i w:val="0"/>
          <w:color w:val="000000"/>
          <w:sz w:val="24"/>
        </w:rPr>
        <w:t>4. Please explain how you have ensured that only eligible expenditure was included in the calculation of the standard scale of unit cost, lump sum or flat rate.</w:t>
      </w:r>
      <w:bookmarkEnd w:id="150"/>
    </w:p>
    <w:p w14:paraId="77CAC55F"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4A840044"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02C2ED" w14:textId="77777777" w:rsidR="00A77B3E" w:rsidRDefault="00A77B3E">
            <w:pPr>
              <w:spacing w:before="100"/>
              <w:rPr>
                <w:rFonts w:ascii="TimesNewRoman" w:eastAsia="TimesNewRoman" w:hAnsi="TimesNewRoman" w:cs="TimesNewRoman"/>
                <w:color w:val="000000"/>
                <w:sz w:val="0"/>
              </w:rPr>
            </w:pPr>
          </w:p>
          <w:p w14:paraId="39FCC9DA" w14:textId="77777777" w:rsidR="00A77B3E" w:rsidRDefault="00A77B3E">
            <w:pPr>
              <w:spacing w:before="100"/>
              <w:rPr>
                <w:rFonts w:ascii="TimesNewRoman" w:eastAsia="TimesNewRoman" w:hAnsi="TimesNewRoman" w:cs="TimesNewRoman"/>
                <w:color w:val="000000"/>
              </w:rPr>
            </w:pPr>
          </w:p>
          <w:p w14:paraId="31D87C2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flat-rate has been established in accordance with point (d) of Article 94.2 Regulation (EU) 2021/1060, i.e., it is consistent with the “</w:t>
            </w:r>
            <w:r>
              <w:rPr>
                <w:rStyle w:val="Emphasis"/>
                <w:rFonts w:ascii="TimesNewRoman" w:eastAsia="TimesNewRoman" w:hAnsi="TimesNewRoman" w:cs="TimesNewRoman"/>
                <w:i w:val="0"/>
                <w:color w:val="000000"/>
              </w:rPr>
              <w:t>the rules on corresponding unit costs, lump sums and flat rates applied under schemes for grants funded entirely by the Member State for a similar type of operation”.</w:t>
            </w:r>
          </w:p>
          <w:p w14:paraId="592084DE" w14:textId="77777777" w:rsidR="00A77B3E" w:rsidRDefault="00A77B3E">
            <w:pPr>
              <w:spacing w:before="100"/>
              <w:rPr>
                <w:rFonts w:ascii="TimesNewRoman" w:eastAsia="TimesNewRoman" w:hAnsi="TimesNewRoman" w:cs="TimesNewRoman"/>
                <w:color w:val="000000"/>
                <w:sz w:val="6"/>
              </w:rPr>
            </w:pPr>
          </w:p>
          <w:p w14:paraId="4F960D2B" w14:textId="77777777" w:rsidR="00A77B3E" w:rsidRDefault="00A77B3E">
            <w:pPr>
              <w:spacing w:before="100"/>
              <w:rPr>
                <w:rFonts w:ascii="TimesNewRoman" w:eastAsia="TimesNewRoman" w:hAnsi="TimesNewRoman" w:cs="TimesNewRoman"/>
                <w:color w:val="000000"/>
                <w:sz w:val="6"/>
              </w:rPr>
            </w:pPr>
          </w:p>
        </w:tc>
      </w:tr>
    </w:tbl>
    <w:p w14:paraId="450AFBC8" w14:textId="77777777" w:rsidR="00A77B3E" w:rsidRDefault="00A77B3E">
      <w:pPr>
        <w:spacing w:before="100"/>
        <w:rPr>
          <w:rFonts w:ascii="TimesNewRoman" w:eastAsia="TimesNewRoman" w:hAnsi="TimesNewRoman" w:cs="TimesNewRoman"/>
          <w:color w:val="000000"/>
        </w:rPr>
      </w:pPr>
    </w:p>
    <w:p w14:paraId="516A01A5" w14:textId="77777777" w:rsidR="00A77B3E" w:rsidRDefault="00000000">
      <w:pPr>
        <w:pStyle w:val="Heading2"/>
        <w:spacing w:before="100" w:after="0"/>
        <w:rPr>
          <w:rFonts w:ascii="TimesNewRoman" w:eastAsia="TimesNewRoman" w:hAnsi="TimesNewRoman" w:cs="TimesNewRoman"/>
          <w:b w:val="0"/>
          <w:i w:val="0"/>
          <w:color w:val="000000"/>
          <w:sz w:val="24"/>
        </w:rPr>
      </w:pPr>
      <w:bookmarkStart w:id="151" w:name="_Toc256000308"/>
      <w:r>
        <w:rPr>
          <w:rFonts w:ascii="TimesNewRoman" w:eastAsia="TimesNewRoman" w:hAnsi="TimesNewRoman" w:cs="TimesNewRoman"/>
          <w:b w:val="0"/>
          <w:i w:val="0"/>
          <w:color w:val="000000"/>
          <w:sz w:val="24"/>
        </w:rPr>
        <w:t>5. Assessment of the audit authority(</w:t>
      </w:r>
      <w:proofErr w:type="spellStart"/>
      <w:r>
        <w:rPr>
          <w:rFonts w:ascii="TimesNewRoman" w:eastAsia="TimesNewRoman" w:hAnsi="TimesNewRoman" w:cs="TimesNewRoman"/>
          <w:b w:val="0"/>
          <w:i w:val="0"/>
          <w:color w:val="000000"/>
          <w:sz w:val="24"/>
        </w:rPr>
        <w:t>ies</w:t>
      </w:r>
      <w:proofErr w:type="spellEnd"/>
      <w:r>
        <w:rPr>
          <w:rFonts w:ascii="TimesNewRoman" w:eastAsia="TimesNewRoman" w:hAnsi="TimesNewRoman" w:cs="TimesNewRoman"/>
          <w:b w:val="0"/>
          <w:i w:val="0"/>
          <w:color w:val="000000"/>
          <w:sz w:val="24"/>
        </w:rPr>
        <w:t>) of the calculation methodology and amounts and the arrangements to ensure the verification, quality, collection and storage of data.</w:t>
      </w:r>
      <w:bookmarkEnd w:id="151"/>
    </w:p>
    <w:p w14:paraId="6ACDF68C" w14:textId="77777777" w:rsidR="00A77B3E" w:rsidRDefault="00A77B3E">
      <w:pPr>
        <w:spacing w:before="100"/>
        <w:rPr>
          <w:rFonts w:ascii="TimesNewRoman" w:eastAsia="TimesNewRoman" w:hAnsi="TimesNewRoman" w:cs="TimesNew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62EB6921"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A78505E" w14:textId="77777777" w:rsidR="00A77B3E" w:rsidRDefault="00A77B3E">
            <w:pPr>
              <w:spacing w:before="100"/>
              <w:rPr>
                <w:rFonts w:ascii="TimesNewRoman" w:eastAsia="TimesNewRoman" w:hAnsi="TimesNewRoman" w:cs="TimesNewRoman"/>
                <w:color w:val="000000"/>
                <w:sz w:val="0"/>
              </w:rPr>
            </w:pPr>
          </w:p>
          <w:p w14:paraId="74B01B8F"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30% Flat Rate SCO for operations supported under RSO1.1 in respect of Regional Smart Hubs for Entrepreneurial Research and Innovation – ARC Hubs.</w:t>
            </w:r>
          </w:p>
          <w:p w14:paraId="231E2F11"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The ERDF Audit Authority (AA) reviewed the rationale and information outlined in the document and re-calculated the figures declared in this Art 94.2 Regulation (EU) 2021/1060 Simplified Cost option (SCO). The AA is in agreement with the proposal and recommend that this Art 94 SCO is submitted to the Commission's Directorate-General for Regional and Urban Policy for review and approval. (For the full AA assessment, please refer to the SFI Smart Hubs – Assessment of the AA document in the “Other MS documents” section.)</w:t>
            </w:r>
          </w:p>
          <w:p w14:paraId="58006B3A" w14:textId="77777777" w:rsidR="00A77B3E" w:rsidRDefault="00A77B3E">
            <w:pPr>
              <w:spacing w:before="100"/>
              <w:rPr>
                <w:rFonts w:ascii="TimesNewRoman" w:eastAsia="TimesNewRoman" w:hAnsi="TimesNewRoman" w:cs="TimesNewRoman"/>
                <w:color w:val="000000"/>
                <w:sz w:val="6"/>
              </w:rPr>
            </w:pPr>
          </w:p>
          <w:p w14:paraId="231E77EC" w14:textId="77777777" w:rsidR="00A77B3E" w:rsidRDefault="00A77B3E">
            <w:pPr>
              <w:spacing w:before="100"/>
              <w:rPr>
                <w:rFonts w:ascii="TimesNewRoman" w:eastAsia="TimesNewRoman" w:hAnsi="TimesNewRoman" w:cs="TimesNewRoman"/>
                <w:color w:val="000000"/>
                <w:sz w:val="6"/>
              </w:rPr>
            </w:pPr>
          </w:p>
        </w:tc>
      </w:tr>
    </w:tbl>
    <w:p w14:paraId="7C2D135E" w14:textId="77777777" w:rsidR="00A77B3E" w:rsidRDefault="00A77B3E">
      <w:pPr>
        <w:spacing w:before="100"/>
        <w:rPr>
          <w:rFonts w:ascii="TimesNewRoman" w:eastAsia="TimesNewRoman" w:hAnsi="TimesNewRoman" w:cs="TimesNewRoman"/>
          <w:color w:val="000000"/>
        </w:rPr>
        <w:sectPr w:rsidR="00A77B3E">
          <w:headerReference w:type="even" r:id="rId49"/>
          <w:headerReference w:type="default" r:id="rId50"/>
          <w:footerReference w:type="even" r:id="rId51"/>
          <w:footerReference w:type="default" r:id="rId52"/>
          <w:headerReference w:type="first" r:id="rId53"/>
          <w:footerReference w:type="first" r:id="rId54"/>
          <w:pgSz w:w="11906" w:h="16838"/>
          <w:pgMar w:top="720" w:right="936" w:bottom="864" w:left="720" w:header="0" w:footer="72" w:gutter="0"/>
          <w:cols w:space="708"/>
          <w:noEndnote/>
          <w:docGrid w:linePitch="360"/>
        </w:sectPr>
      </w:pPr>
    </w:p>
    <w:p w14:paraId="684CEB11" w14:textId="77777777" w:rsidR="00A77B3E" w:rsidRDefault="00000000">
      <w:pPr>
        <w:pStyle w:val="Heading1"/>
        <w:spacing w:before="100" w:after="0"/>
        <w:rPr>
          <w:rFonts w:ascii="TimesNewRoman" w:eastAsia="TimesNewRoman" w:hAnsi="TimesNewRoman" w:cs="TimesNewRoman"/>
          <w:b w:val="0"/>
          <w:color w:val="000000"/>
          <w:sz w:val="24"/>
        </w:rPr>
      </w:pPr>
      <w:bookmarkStart w:id="152" w:name="_Toc256000309"/>
      <w:r>
        <w:rPr>
          <w:rFonts w:ascii="TimesNewRoman" w:eastAsia="TimesNewRoman" w:hAnsi="TimesNewRoman" w:cs="TimesNewRoman"/>
          <w:b w:val="0"/>
          <w:color w:val="000000"/>
          <w:sz w:val="24"/>
        </w:rPr>
        <w:lastRenderedPageBreak/>
        <w:t>Appendix 2: Union contribution based on financing not linked to costs</w:t>
      </w:r>
      <w:bookmarkEnd w:id="152"/>
    </w:p>
    <w:p w14:paraId="69E2D6FF" w14:textId="77777777" w:rsidR="00A77B3E" w:rsidRDefault="00000000">
      <w:pPr>
        <w:pStyle w:val="Heading2"/>
        <w:spacing w:before="100" w:after="0"/>
        <w:rPr>
          <w:rFonts w:ascii="TimesNewRoman" w:eastAsia="TimesNewRoman" w:hAnsi="TimesNewRoman" w:cs="TimesNewRoman"/>
          <w:b w:val="0"/>
          <w:i w:val="0"/>
          <w:color w:val="000000"/>
          <w:sz w:val="24"/>
        </w:rPr>
      </w:pPr>
      <w:bookmarkStart w:id="153" w:name="_Toc256000310"/>
      <w:r>
        <w:rPr>
          <w:rFonts w:ascii="TimesNewRoman" w:eastAsia="TimesNewRoman" w:hAnsi="TimesNewRoman" w:cs="TimesNewRoman"/>
          <w:b w:val="0"/>
          <w:i w:val="0"/>
          <w:color w:val="000000"/>
          <w:sz w:val="24"/>
        </w:rPr>
        <w:t>A. Summary of the main elements</w:t>
      </w:r>
      <w:bookmarkEnd w:id="153"/>
    </w:p>
    <w:p w14:paraId="3E5EDD16"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975"/>
        <w:gridCol w:w="1943"/>
        <w:gridCol w:w="983"/>
        <w:gridCol w:w="1463"/>
        <w:gridCol w:w="975"/>
        <w:gridCol w:w="987"/>
        <w:gridCol w:w="1474"/>
        <w:gridCol w:w="975"/>
        <w:gridCol w:w="987"/>
        <w:gridCol w:w="1474"/>
        <w:gridCol w:w="1955"/>
      </w:tblGrid>
      <w:tr w:rsidR="00B82D50" w14:paraId="0933C9DB" w14:textId="77777777">
        <w:trPr>
          <w:tblHeader/>
        </w:trPr>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85476C6"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Priority</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5D6558"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Fund</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05AB87"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Specific objective</w:t>
            </w:r>
          </w:p>
        </w:tc>
        <w:tc>
          <w:tcPr>
            <w:tcW w:w="1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920341"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Category of region</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193AAB5"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The amount covered by the financing not linked to cost</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908B048"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Type(s) of operation covered</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D5F7B6C"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Conditions to be fulfilled/results to be achieved triggering reimbursement by the Commission</w:t>
            </w:r>
          </w:p>
        </w:tc>
        <w:tc>
          <w:tcPr>
            <w:tcW w:w="2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30E99BA"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Indicator</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2C56F4"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Unit of measurement for the conditions to be fulfilled/results to be achieved triggering reimbursement by the Commission</w:t>
            </w:r>
          </w:p>
        </w:tc>
        <w:tc>
          <w:tcPr>
            <w:tcW w:w="20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A109513"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Envisaged type of reimbursement method used to reimburse the beneficiary(</w:t>
            </w:r>
            <w:proofErr w:type="spellStart"/>
            <w:r>
              <w:rPr>
                <w:rFonts w:ascii="TimesNewRoman" w:eastAsia="TimesNewRoman" w:hAnsi="TimesNewRoman" w:cs="TimesNewRoman"/>
                <w:color w:val="000000"/>
                <w:sz w:val="12"/>
              </w:rPr>
              <w:t>ies</w:t>
            </w:r>
            <w:proofErr w:type="spellEnd"/>
            <w:r>
              <w:rPr>
                <w:rFonts w:ascii="TimesNewRoman" w:eastAsia="TimesNewRoman" w:hAnsi="TimesNewRoman" w:cs="TimesNewRoman"/>
                <w:color w:val="000000"/>
                <w:sz w:val="12"/>
              </w:rPr>
              <w:t>)</w:t>
            </w:r>
          </w:p>
        </w:tc>
      </w:tr>
      <w:tr w:rsidR="00B82D50" w14:paraId="442DE48E" w14:textId="77777777">
        <w:trPr>
          <w:tblHeader/>
        </w:trPr>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2D382C5"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4C797D"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BDD738C" w14:textId="77777777" w:rsidR="00A77B3E" w:rsidRDefault="00A77B3E">
            <w:pPr>
              <w:spacing w:before="100"/>
              <w:jc w:val="center"/>
              <w:rPr>
                <w:rFonts w:ascii="TimesNewRoman" w:eastAsia="TimesNewRoman" w:hAnsi="TimesNewRoman" w:cs="TimesNewRoman"/>
                <w:color w:val="000000"/>
                <w:sz w:val="12"/>
              </w:rPr>
            </w:pPr>
          </w:p>
        </w:tc>
        <w:tc>
          <w:tcPr>
            <w:tcW w:w="1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A6921C" w14:textId="77777777" w:rsidR="00A77B3E" w:rsidRDefault="00A77B3E">
            <w:pPr>
              <w:spacing w:before="100"/>
              <w:jc w:val="center"/>
              <w:rPr>
                <w:rFonts w:ascii="TimesNewRoman" w:eastAsia="TimesNewRoman" w:hAnsi="TimesNewRoman" w:cs="TimesNewRoman"/>
                <w:color w:val="000000"/>
                <w:sz w:val="12"/>
              </w:rPr>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6400441"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0F0016A"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Code (1)</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2730425"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172C19B" w14:textId="77777777" w:rsidR="00A77B3E" w:rsidRDefault="00A77B3E">
            <w:pPr>
              <w:spacing w:before="100"/>
              <w:jc w:val="center"/>
              <w:rPr>
                <w:rFonts w:ascii="TimesNewRoman" w:eastAsia="TimesNewRoman" w:hAnsi="TimesNewRoman" w:cs="TimesNewRoman"/>
                <w:color w:val="000000"/>
                <w:sz w:val="12"/>
              </w:rPr>
            </w:pP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A7A19B2"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Code (2)</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93898F5" w14:textId="77777777" w:rsidR="00A77B3E" w:rsidRDefault="00000000">
            <w:pPr>
              <w:spacing w:before="100"/>
              <w:jc w:val="center"/>
              <w:rPr>
                <w:rFonts w:ascii="TimesNewRoman" w:eastAsia="TimesNewRoman" w:hAnsi="TimesNewRoman" w:cs="TimesNewRoman"/>
                <w:color w:val="000000"/>
                <w:sz w:val="12"/>
              </w:rPr>
            </w:pPr>
            <w:r>
              <w:rPr>
                <w:rFonts w:ascii="TimesNewRoman" w:eastAsia="TimesNewRoman" w:hAnsi="TimesNewRoman" w:cs="TimesNewRoman"/>
                <w:color w:val="000000"/>
                <w:sz w:val="12"/>
              </w:rPr>
              <w:t>Description</w:t>
            </w:r>
          </w:p>
        </w:tc>
        <w:tc>
          <w:tcPr>
            <w:tcW w:w="15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B50C56E" w14:textId="77777777" w:rsidR="00A77B3E" w:rsidRDefault="00A77B3E">
            <w:pPr>
              <w:spacing w:before="100"/>
              <w:jc w:val="center"/>
              <w:rPr>
                <w:rFonts w:ascii="TimesNewRoman" w:eastAsia="TimesNewRoman" w:hAnsi="TimesNewRoman" w:cs="TimesNewRoman"/>
                <w:color w:val="000000"/>
                <w:sz w:val="12"/>
              </w:rPr>
            </w:pPr>
          </w:p>
        </w:tc>
        <w:tc>
          <w:tcPr>
            <w:tcW w:w="2000" w:type="dxa"/>
            <w:vMerge/>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4B30E06" w14:textId="77777777" w:rsidR="00A77B3E" w:rsidRDefault="00A77B3E">
            <w:pPr>
              <w:spacing w:before="100"/>
              <w:jc w:val="center"/>
              <w:rPr>
                <w:rFonts w:ascii="TimesNewRoman" w:eastAsia="TimesNewRoman" w:hAnsi="TimesNewRoman" w:cs="TimesNewRoman"/>
                <w:color w:val="000000"/>
                <w:sz w:val="12"/>
              </w:rPr>
            </w:pPr>
          </w:p>
        </w:tc>
      </w:tr>
    </w:tbl>
    <w:p w14:paraId="2FA5F666"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(1) This refers to the code for the intervention field dimension in Table 1 of Annex I to the CPR and the Annex IV to the EMFAF regulation</w:t>
      </w:r>
    </w:p>
    <w:p w14:paraId="0CEA8697" w14:textId="77777777" w:rsidR="00A77B3E" w:rsidRDefault="00000000">
      <w:pPr>
        <w:spacing w:before="100"/>
        <w:rPr>
          <w:rFonts w:ascii="TimesNewRoman" w:eastAsia="TimesNewRoman" w:hAnsi="TimesNewRoman" w:cs="TimesNewRoman"/>
          <w:color w:val="000000"/>
          <w:sz w:val="12"/>
        </w:rPr>
      </w:pPr>
      <w:r>
        <w:rPr>
          <w:rFonts w:ascii="TimesNewRoman" w:eastAsia="TimesNewRoman" w:hAnsi="TimesNewRoman" w:cs="TimesNewRoman"/>
          <w:color w:val="000000"/>
          <w:sz w:val="12"/>
        </w:rPr>
        <w:t>(2)  This refers to the code of a common indicator, if applicable</w:t>
      </w:r>
    </w:p>
    <w:p w14:paraId="1C3A1909" w14:textId="77777777" w:rsidR="00A77B3E" w:rsidRDefault="00A77B3E">
      <w:pPr>
        <w:spacing w:before="100"/>
        <w:rPr>
          <w:rFonts w:ascii="TimesNewRoman" w:eastAsia="TimesNewRoman" w:hAnsi="TimesNewRoman" w:cs="TimesNewRoman"/>
          <w:color w:val="000000"/>
          <w:sz w:val="12"/>
        </w:rPr>
        <w:sectPr w:rsidR="00A77B3E">
          <w:headerReference w:type="even" r:id="rId55"/>
          <w:headerReference w:type="default" r:id="rId56"/>
          <w:footerReference w:type="even" r:id="rId57"/>
          <w:footerReference w:type="default" r:id="rId58"/>
          <w:headerReference w:type="first" r:id="rId59"/>
          <w:footerReference w:type="first" r:id="rId60"/>
          <w:pgSz w:w="16838" w:h="11906" w:orient="landscape"/>
          <w:pgMar w:top="720" w:right="720" w:bottom="864" w:left="936" w:header="288" w:footer="72" w:gutter="0"/>
          <w:cols w:space="708"/>
          <w:noEndnote/>
          <w:docGrid w:linePitch="360"/>
        </w:sectPr>
      </w:pPr>
    </w:p>
    <w:p w14:paraId="7BDF415D" w14:textId="77777777" w:rsidR="00A77B3E" w:rsidRDefault="00000000">
      <w:pPr>
        <w:pStyle w:val="Heading2"/>
        <w:spacing w:before="100" w:after="0"/>
        <w:rPr>
          <w:rFonts w:ascii="TimesNewRoman" w:eastAsia="TimesNewRoman" w:hAnsi="TimesNewRoman" w:cs="TimesNewRoman"/>
          <w:b w:val="0"/>
          <w:i w:val="0"/>
          <w:color w:val="000000"/>
          <w:sz w:val="24"/>
        </w:rPr>
      </w:pPr>
      <w:bookmarkStart w:id="154" w:name="_Toc256000311"/>
      <w:r>
        <w:rPr>
          <w:rFonts w:ascii="TimesNewRoman" w:eastAsia="TimesNewRoman" w:hAnsi="TimesNewRoman" w:cs="TimesNewRoman"/>
          <w:b w:val="0"/>
          <w:i w:val="0"/>
          <w:color w:val="000000"/>
          <w:sz w:val="24"/>
        </w:rPr>
        <w:lastRenderedPageBreak/>
        <w:t>B. Details by type of operation</w:t>
      </w:r>
      <w:bookmarkEnd w:id="154"/>
    </w:p>
    <w:p w14:paraId="3EDB777C" w14:textId="77777777" w:rsidR="00A77B3E" w:rsidRDefault="00A77B3E">
      <w:pPr>
        <w:spacing w:before="100"/>
        <w:rPr>
          <w:rFonts w:ascii="TimesNewRoman" w:eastAsia="TimesNewRoman" w:hAnsi="TimesNewRoman" w:cs="TimesNewRoman"/>
          <w:color w:val="000000"/>
        </w:rPr>
        <w:sectPr w:rsidR="00A77B3E">
          <w:headerReference w:type="even" r:id="rId61"/>
          <w:headerReference w:type="default" r:id="rId62"/>
          <w:footerReference w:type="even" r:id="rId63"/>
          <w:footerReference w:type="default" r:id="rId64"/>
          <w:headerReference w:type="first" r:id="rId65"/>
          <w:footerReference w:type="first" r:id="rId66"/>
          <w:pgSz w:w="11906" w:h="16838"/>
          <w:pgMar w:top="720" w:right="936" w:bottom="864" w:left="720" w:header="0" w:footer="72" w:gutter="0"/>
          <w:cols w:space="708"/>
          <w:noEndnote/>
          <w:docGrid w:linePitch="360"/>
        </w:sectPr>
      </w:pPr>
    </w:p>
    <w:p w14:paraId="04839CB4" w14:textId="77777777" w:rsidR="00A77B3E" w:rsidRDefault="00000000">
      <w:pPr>
        <w:pStyle w:val="Heading1"/>
        <w:spacing w:before="100" w:after="0"/>
        <w:rPr>
          <w:rFonts w:ascii="TimesNewRoman" w:eastAsia="TimesNewRoman" w:hAnsi="TimesNewRoman" w:cs="TimesNewRoman"/>
          <w:b w:val="0"/>
          <w:color w:val="000000"/>
          <w:sz w:val="24"/>
        </w:rPr>
      </w:pPr>
      <w:bookmarkStart w:id="155" w:name="_Toc256000312"/>
      <w:r>
        <w:rPr>
          <w:rFonts w:ascii="TimesNewRoman" w:eastAsia="TimesNewRoman" w:hAnsi="TimesNewRoman" w:cs="TimesNewRoman"/>
          <w:b w:val="0"/>
          <w:color w:val="000000"/>
          <w:sz w:val="24"/>
        </w:rPr>
        <w:lastRenderedPageBreak/>
        <w:t>Appendix 3</w:t>
      </w:r>
      <w:bookmarkEnd w:id="155"/>
    </w:p>
    <w:p w14:paraId="481F51E6" w14:textId="77777777" w:rsidR="00A77B3E" w:rsidRDefault="00A77B3E">
      <w:pPr>
        <w:spacing w:before="100"/>
        <w:rPr>
          <w:rFonts w:ascii="TimesNewRoman" w:eastAsia="TimesNewRoman" w:hAnsi="TimesNewRoman" w:cs="TimesNewRoman"/>
          <w:color w:val="000000"/>
          <w:sz w:val="0"/>
        </w:rPr>
      </w:pPr>
    </w:p>
    <w:p w14:paraId="7495BA58" w14:textId="77777777" w:rsidR="00A77B3E" w:rsidRDefault="00000000">
      <w:pPr>
        <w:spacing w:before="100"/>
        <w:rPr>
          <w:rFonts w:ascii="TimesNewRoman" w:eastAsia="TimesNewRoman" w:hAnsi="TimesNewRoman" w:cs="TimesNewRoman"/>
          <w:color w:val="000000"/>
          <w:sz w:val="0"/>
        </w:rPr>
      </w:pPr>
      <w:r>
        <w:rPr>
          <w:rFonts w:ascii="TimesNewRoman" w:eastAsia="TimesNewRoman" w:hAnsi="TimesNewRoman" w:cs="TimesNewRoman"/>
          <w:color w:val="000000"/>
        </w:rPr>
        <w:t>Article 22(3) CPR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B82D50" w14:paraId="0C6FAD10" w14:textId="77777777">
        <w:trPr>
          <w:trHeight w:val="160"/>
        </w:trPr>
        <w:tc>
          <w:tcPr>
            <w:tcW w:w="5000" w:type="pct"/>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F1AC159" w14:textId="77777777" w:rsidR="00A77B3E" w:rsidRDefault="00A77B3E">
            <w:pPr>
              <w:spacing w:before="100"/>
              <w:rPr>
                <w:rFonts w:ascii="TimesNewRoman" w:eastAsia="TimesNewRoman" w:hAnsi="TimesNewRoman" w:cs="TimesNewRoman"/>
                <w:color w:val="000000"/>
                <w:sz w:val="0"/>
              </w:rPr>
            </w:pPr>
          </w:p>
          <w:p w14:paraId="30784514"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will support the establishment of </w:t>
            </w:r>
            <w:r>
              <w:rPr>
                <w:rFonts w:ascii="TimesNewRoman" w:eastAsia="TimesNewRoman" w:hAnsi="TimesNewRoman" w:cs="TimesNewRoman"/>
                <w:color w:val="000000"/>
                <w:u w:val="single"/>
              </w:rPr>
              <w:t>two</w:t>
            </w:r>
            <w:r>
              <w:rPr>
                <w:rFonts w:ascii="TimesNewRoman" w:eastAsia="TimesNewRoman" w:hAnsi="TimesNewRoman" w:cs="TimesNewRoman"/>
                <w:color w:val="000000"/>
              </w:rPr>
              <w:t xml:space="preserve"> new ARC Hubs - Regional Smart Hubs for Entrepreneurial Research and Innovation - in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area under Specific Objective RSO1.1 (Action RSO1.1.4).</w:t>
            </w:r>
          </w:p>
          <w:p w14:paraId="10FEF0A0"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Accelerating Research to </w:t>
            </w:r>
            <w:proofErr w:type="spellStart"/>
            <w:r>
              <w:rPr>
                <w:rFonts w:ascii="TimesNewRoman" w:eastAsia="TimesNewRoman" w:hAnsi="TimesNewRoman" w:cs="TimesNewRoman"/>
                <w:color w:val="000000"/>
              </w:rPr>
              <w:t>Commercialisation</w:t>
            </w:r>
            <w:proofErr w:type="spellEnd"/>
            <w:r>
              <w:rPr>
                <w:rFonts w:ascii="TimesNewRoman" w:eastAsia="TimesNewRoman" w:hAnsi="TimesNewRoman" w:cs="TimesNewRoman"/>
                <w:color w:val="000000"/>
              </w:rPr>
              <w:t xml:space="preserve"> (ARC) Hub Programme aims to establish a new model for regional innovation and entrepreneurial training, that will </w:t>
            </w:r>
            <w:proofErr w:type="spellStart"/>
            <w:r>
              <w:rPr>
                <w:rFonts w:ascii="TimesNewRoman" w:eastAsia="TimesNewRoman" w:hAnsi="TimesNewRoman" w:cs="TimesNewRoman"/>
                <w:color w:val="000000"/>
              </w:rPr>
              <w:t>catalyse</w:t>
            </w:r>
            <w:proofErr w:type="spellEnd"/>
            <w:r>
              <w:rPr>
                <w:rFonts w:ascii="TimesNewRoman" w:eastAsia="TimesNewRoman" w:hAnsi="TimesNewRoman" w:cs="TimesNewRoman"/>
                <w:color w:val="000000"/>
              </w:rPr>
              <w:t xml:space="preserve"> a step-change in the translation of cutting-edge publicly-funded research toward impact at a regional level. The ARC Hub Programme will enhance and accelerate the </w:t>
            </w:r>
            <w:proofErr w:type="spellStart"/>
            <w:r>
              <w:rPr>
                <w:rFonts w:ascii="TimesNewRoman" w:eastAsia="TimesNewRoman" w:hAnsi="TimesNewRoman" w:cs="TimesNewRoman"/>
                <w:color w:val="000000"/>
              </w:rPr>
              <w:t>commercialisation</w:t>
            </w:r>
            <w:proofErr w:type="spellEnd"/>
            <w:r>
              <w:rPr>
                <w:rFonts w:ascii="TimesNewRoman" w:eastAsia="TimesNewRoman" w:hAnsi="TimesNewRoman" w:cs="TimesNewRoman"/>
                <w:color w:val="000000"/>
              </w:rPr>
              <w:t xml:space="preserve"> of research to create new products, processes and services. The ARC Hubs will be established in key thematic areas aligned with the Ireland's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Strategy and regional strategic priorities. The model will integrate critical elements of a research and innovation (R&amp;I) ecosystem with entrepreneurial approaches, thus accelerating time to market from research concept to HPSUs, new product introduction, </w:t>
            </w:r>
            <w:proofErr w:type="spellStart"/>
            <w:r>
              <w:rPr>
                <w:rFonts w:ascii="TimesNewRoman" w:eastAsia="TimesNewRoman" w:hAnsi="TimesNewRoman" w:cs="TimesNewRoman"/>
                <w:color w:val="000000"/>
              </w:rPr>
              <w:t>licences</w:t>
            </w:r>
            <w:proofErr w:type="spellEnd"/>
            <w:r>
              <w:rPr>
                <w:rFonts w:ascii="TimesNewRoman" w:eastAsia="TimesNewRoman" w:hAnsi="TimesNewRoman" w:cs="TimesNewRoman"/>
                <w:color w:val="000000"/>
              </w:rPr>
              <w:t xml:space="preserve"> and innovations.</w:t>
            </w:r>
          </w:p>
          <w:p w14:paraId="1F61F43B"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Each of the ARC Hubs will be an operation of strategic importance in the </w:t>
            </w:r>
            <w:proofErr w:type="spellStart"/>
            <w:r>
              <w:rPr>
                <w:rFonts w:ascii="TimesNewRoman" w:eastAsia="TimesNewRoman" w:hAnsi="TimesNewRoman" w:cs="TimesNewRoman"/>
                <w:color w:val="000000"/>
              </w:rPr>
              <w:t>programme</w:t>
            </w:r>
            <w:proofErr w:type="spellEnd"/>
            <w:r>
              <w:rPr>
                <w:rFonts w:ascii="TimesNewRoman" w:eastAsia="TimesNewRoman" w:hAnsi="TimesNewRoman" w:cs="TimesNewRoman"/>
                <w:color w:val="000000"/>
              </w:rPr>
              <w:t xml:space="preserve"> area. The operations will be selected through a competitive call. An indicative timetable is given below.</w:t>
            </w:r>
          </w:p>
          <w:p w14:paraId="0BE34790" w14:textId="77777777" w:rsidR="00A77B3E" w:rsidRDefault="00A77B3E">
            <w:pPr>
              <w:spacing w:before="100"/>
              <w:rPr>
                <w:rFonts w:ascii="TimesNewRoman" w:eastAsia="TimesNewRoman" w:hAnsi="TimesNewRoman" w:cs="TimesNewRoman"/>
                <w:color w:val="000000"/>
              </w:rPr>
            </w:pPr>
          </w:p>
          <w:p w14:paraId="293D27C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Q2 2023 Call Launch</w:t>
            </w:r>
          </w:p>
          <w:p w14:paraId="2A2B7CD8"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Q2 2024 Selection of operations</w:t>
            </w:r>
          </w:p>
          <w:p w14:paraId="616140DC"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Q1 2025 Commencement of operations</w:t>
            </w:r>
          </w:p>
          <w:p w14:paraId="6B022251"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Q3 2025 Official Launch</w:t>
            </w:r>
          </w:p>
          <w:p w14:paraId="4BEB7AEE" w14:textId="77777777" w:rsidR="00A77B3E" w:rsidRDefault="00A77B3E">
            <w:pPr>
              <w:spacing w:before="100"/>
              <w:rPr>
                <w:rFonts w:ascii="TimesNewRoman" w:eastAsia="TimesNewRoman" w:hAnsi="TimesNewRoman" w:cs="TimesNewRoman"/>
                <w:color w:val="000000"/>
              </w:rPr>
            </w:pPr>
          </w:p>
          <w:p w14:paraId="23D7DFE5" w14:textId="77777777" w:rsidR="00A77B3E" w:rsidRDefault="00000000">
            <w:pPr>
              <w:spacing w:before="100"/>
              <w:rPr>
                <w:rFonts w:ascii="TimesNewRoman" w:eastAsia="TimesNewRoman" w:hAnsi="TimesNewRoman" w:cs="TimesNewRoman"/>
                <w:color w:val="000000"/>
              </w:rPr>
            </w:pPr>
            <w:r>
              <w:rPr>
                <w:rFonts w:ascii="TimesNewRoman" w:eastAsia="TimesNewRoman" w:hAnsi="TimesNewRoman" w:cs="TimesNewRoman"/>
                <w:color w:val="000000"/>
              </w:rPr>
              <w:t xml:space="preserve">The new regional ARC Hubs will be established in key thematic areas aligned with the Ireland's Smart </w:t>
            </w:r>
            <w:proofErr w:type="spellStart"/>
            <w:r>
              <w:rPr>
                <w:rFonts w:ascii="TimesNewRoman" w:eastAsia="TimesNewRoman" w:hAnsi="TimesNewRoman" w:cs="TimesNewRoman"/>
                <w:color w:val="000000"/>
              </w:rPr>
              <w:t>Specialisation</w:t>
            </w:r>
            <w:proofErr w:type="spellEnd"/>
            <w:r>
              <w:rPr>
                <w:rFonts w:ascii="TimesNewRoman" w:eastAsia="TimesNewRoman" w:hAnsi="TimesNewRoman" w:cs="TimesNewRoman"/>
                <w:color w:val="000000"/>
              </w:rPr>
              <w:t xml:space="preserve"> Strategy and regional strategic priorities. They will establish a new model for regional innovation and entrepreneurial training. The model will integrate critical elements of a research and innovation (R&amp;I) ecosystem with entrepreneurial approaches, thus accelerating time to market from research concept to HPSUs, new product introduction, </w:t>
            </w:r>
            <w:proofErr w:type="spellStart"/>
            <w:r>
              <w:rPr>
                <w:rFonts w:ascii="TimesNewRoman" w:eastAsia="TimesNewRoman" w:hAnsi="TimesNewRoman" w:cs="TimesNewRoman"/>
                <w:color w:val="000000"/>
              </w:rPr>
              <w:t>licences</w:t>
            </w:r>
            <w:proofErr w:type="spellEnd"/>
            <w:r>
              <w:rPr>
                <w:rFonts w:ascii="TimesNewRoman" w:eastAsia="TimesNewRoman" w:hAnsi="TimesNewRoman" w:cs="TimesNewRoman"/>
                <w:color w:val="000000"/>
              </w:rPr>
              <w:t xml:space="preserve"> and innovations.</w:t>
            </w:r>
          </w:p>
          <w:p w14:paraId="2BB50918" w14:textId="77777777" w:rsidR="00A77B3E" w:rsidRDefault="00A77B3E">
            <w:pPr>
              <w:spacing w:before="100"/>
              <w:rPr>
                <w:rFonts w:ascii="TimesNewRoman" w:eastAsia="TimesNewRoman" w:hAnsi="TimesNewRoman" w:cs="TimesNewRoman"/>
                <w:color w:val="000000"/>
                <w:sz w:val="6"/>
              </w:rPr>
            </w:pPr>
          </w:p>
          <w:p w14:paraId="5B2A9A56" w14:textId="77777777" w:rsidR="00A77B3E" w:rsidRDefault="00A77B3E">
            <w:pPr>
              <w:spacing w:before="100"/>
              <w:rPr>
                <w:rFonts w:ascii="TimesNewRoman" w:eastAsia="TimesNewRoman" w:hAnsi="TimesNewRoman" w:cs="TimesNewRoman"/>
                <w:color w:val="000000"/>
                <w:sz w:val="6"/>
              </w:rPr>
            </w:pPr>
          </w:p>
        </w:tc>
      </w:tr>
    </w:tbl>
    <w:p w14:paraId="334EEDCB" w14:textId="77777777" w:rsidR="00A77B3E" w:rsidRDefault="00A77B3E">
      <w:pPr>
        <w:spacing w:before="100"/>
        <w:rPr>
          <w:rFonts w:ascii="TimesNewRoman" w:eastAsia="TimesNewRoman" w:hAnsi="TimesNewRoman" w:cs="TimesNewRoman"/>
          <w:color w:val="000000"/>
        </w:rPr>
        <w:sectPr w:rsidR="00A77B3E">
          <w:headerReference w:type="even" r:id="rId67"/>
          <w:headerReference w:type="default" r:id="rId68"/>
          <w:footerReference w:type="even" r:id="rId69"/>
          <w:footerReference w:type="default" r:id="rId70"/>
          <w:headerReference w:type="first" r:id="rId71"/>
          <w:footerReference w:type="first" r:id="rId72"/>
          <w:pgSz w:w="11906" w:h="16838"/>
          <w:pgMar w:top="720" w:right="936" w:bottom="864" w:left="720" w:header="0" w:footer="72" w:gutter="0"/>
          <w:cols w:space="708"/>
          <w:noEndnote/>
          <w:docGrid w:linePitch="360"/>
        </w:sectPr>
      </w:pPr>
    </w:p>
    <w:p w14:paraId="76055A50" w14:textId="77777777" w:rsidR="00A77B3E" w:rsidRDefault="00000000">
      <w:pPr>
        <w:pStyle w:val="Heading1"/>
        <w:spacing w:before="100" w:after="0"/>
        <w:rPr>
          <w:rFonts w:ascii="TimesNewRoman" w:eastAsia="TimesNewRoman" w:hAnsi="TimesNewRoman" w:cs="TimesNewRoman"/>
          <w:b w:val="0"/>
          <w:color w:val="000000"/>
          <w:sz w:val="24"/>
        </w:rPr>
      </w:pPr>
      <w:bookmarkStart w:id="156" w:name="_Toc256000313"/>
      <w:r>
        <w:rPr>
          <w:rFonts w:ascii="TimesNewRoman" w:eastAsia="TimesNewRoman" w:hAnsi="TimesNewRoman" w:cs="TimesNewRoman"/>
          <w:b w:val="0"/>
          <w:color w:val="000000"/>
          <w:sz w:val="24"/>
        </w:rPr>
        <w:lastRenderedPageBreak/>
        <w:t>DOCUMENTS</w:t>
      </w:r>
      <w:bookmarkEnd w:id="156"/>
    </w:p>
    <w:p w14:paraId="46669989" w14:textId="77777777" w:rsidR="00A77B3E" w:rsidRDefault="00A77B3E">
      <w:pPr>
        <w:spacing w:before="100"/>
        <w:rPr>
          <w:rFonts w:ascii="TimesNewRoman" w:eastAsia="TimesNewRoman" w:hAnsi="TimesNewRoman" w:cs="TimesNewRoman"/>
          <w:color w:val="000000"/>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775"/>
        <w:gridCol w:w="1109"/>
        <w:gridCol w:w="1840"/>
        <w:gridCol w:w="1776"/>
        <w:gridCol w:w="4011"/>
        <w:gridCol w:w="1110"/>
        <w:gridCol w:w="1776"/>
      </w:tblGrid>
      <w:tr w:rsidR="00B82D50" w14:paraId="1E9D8CCF" w14:textId="77777777">
        <w:trPr>
          <w:trHeight w:val="240"/>
          <w:tblHeader/>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91CFAF4" w14:textId="77777777" w:rsidR="00A77B3E" w:rsidRDefault="00000000">
            <w:pPr>
              <w:spacing w:before="100"/>
              <w:jc w:val="center"/>
              <w:rPr>
                <w:color w:val="000000"/>
                <w:sz w:val="16"/>
              </w:rPr>
            </w:pPr>
            <w:r>
              <w:rPr>
                <w:color w:val="000000"/>
                <w:sz w:val="16"/>
              </w:rPr>
              <w:t>Document title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7D448D8" w14:textId="77777777" w:rsidR="00A77B3E" w:rsidRDefault="00000000">
            <w:pPr>
              <w:spacing w:before="100"/>
              <w:jc w:val="center"/>
              <w:rPr>
                <w:color w:val="000000"/>
                <w:sz w:val="16"/>
              </w:rPr>
            </w:pPr>
            <w:r>
              <w:rPr>
                <w:color w:val="000000"/>
                <w:sz w:val="16"/>
              </w:rPr>
              <w:t>Document type</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5FB5704" w14:textId="77777777" w:rsidR="00A77B3E" w:rsidRDefault="00000000">
            <w:pPr>
              <w:spacing w:before="100"/>
              <w:jc w:val="center"/>
              <w:rPr>
                <w:color w:val="000000"/>
                <w:sz w:val="16"/>
              </w:rPr>
            </w:pPr>
            <w:r>
              <w:rPr>
                <w:color w:val="000000"/>
                <w:sz w:val="16"/>
              </w:rPr>
              <w:t>Document date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6461868" w14:textId="77777777" w:rsidR="00A77B3E" w:rsidRDefault="00000000">
            <w:pPr>
              <w:spacing w:before="100"/>
              <w:jc w:val="center"/>
              <w:rPr>
                <w:color w:val="000000"/>
                <w:sz w:val="16"/>
              </w:rPr>
            </w:pPr>
            <w:r>
              <w:rPr>
                <w:color w:val="000000"/>
                <w:sz w:val="16"/>
              </w:rPr>
              <w:t>Local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A233375" w14:textId="77777777" w:rsidR="00A77B3E" w:rsidRDefault="00000000">
            <w:pPr>
              <w:spacing w:before="100"/>
              <w:jc w:val="center"/>
              <w:rPr>
                <w:color w:val="000000"/>
                <w:sz w:val="16"/>
              </w:rPr>
            </w:pPr>
            <w:r>
              <w:rPr>
                <w:color w:val="000000"/>
                <w:sz w:val="16"/>
              </w:rPr>
              <w:t>Commission reference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379FC01" w14:textId="77777777" w:rsidR="00A77B3E" w:rsidRDefault="00000000">
            <w:pPr>
              <w:spacing w:before="100"/>
              <w:jc w:val="center"/>
              <w:rPr>
                <w:color w:val="000000"/>
                <w:sz w:val="16"/>
              </w:rPr>
            </w:pPr>
            <w:r>
              <w:rPr>
                <w:color w:val="000000"/>
                <w:sz w:val="16"/>
              </w:rPr>
              <w:t>Files</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9C56670" w14:textId="77777777" w:rsidR="00A77B3E" w:rsidRDefault="00000000">
            <w:pPr>
              <w:spacing w:before="100"/>
              <w:jc w:val="center"/>
              <w:rPr>
                <w:color w:val="000000"/>
                <w:sz w:val="16"/>
              </w:rPr>
            </w:pPr>
            <w:r>
              <w:rPr>
                <w:color w:val="000000"/>
                <w:sz w:val="16"/>
              </w:rPr>
              <w:t>Sent date</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4F7B9BE" w14:textId="77777777" w:rsidR="00A77B3E" w:rsidRDefault="00000000">
            <w:pPr>
              <w:spacing w:before="100"/>
              <w:jc w:val="center"/>
              <w:rPr>
                <w:color w:val="000000"/>
                <w:sz w:val="16"/>
              </w:rPr>
            </w:pPr>
            <w:r>
              <w:rPr>
                <w:color w:val="000000"/>
                <w:sz w:val="16"/>
              </w:rPr>
              <w:t>Sent by</w:t>
            </w:r>
          </w:p>
        </w:tc>
      </w:tr>
      <w:tr w:rsidR="00B82D50" w14:paraId="599E9AF6"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D2FB26D" w14:textId="77777777" w:rsidR="00A77B3E" w:rsidRDefault="00000000">
            <w:pPr>
              <w:spacing w:before="100"/>
              <w:rPr>
                <w:color w:val="000000"/>
                <w:sz w:val="16"/>
              </w:rPr>
            </w:pPr>
            <w:r>
              <w:rPr>
                <w:color w:val="000000"/>
                <w:sz w:val="16"/>
              </w:rPr>
              <w:t>Mid-term Review Report 2025</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49DCAF2D" w14:textId="77777777" w:rsidR="00A77B3E" w:rsidRDefault="00000000">
            <w:pPr>
              <w:spacing w:before="100"/>
              <w:rPr>
                <w:color w:val="000000"/>
                <w:sz w:val="16"/>
              </w:rPr>
            </w:pPr>
            <w:r>
              <w:rPr>
                <w:color w:val="000000"/>
                <w:sz w:val="16"/>
              </w:rPr>
              <w:t>Mid-term review assessment</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239384D" w14:textId="77777777" w:rsidR="00A77B3E" w:rsidRDefault="00000000">
            <w:pPr>
              <w:spacing w:before="100"/>
              <w:rPr>
                <w:color w:val="000000"/>
                <w:sz w:val="16"/>
              </w:rPr>
            </w:pPr>
            <w:r>
              <w:rPr>
                <w:color w:val="000000"/>
                <w:sz w:val="16"/>
              </w:rPr>
              <w:t>18 Dec 2025</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5831AB7A" w14:textId="77777777" w:rsidR="00A77B3E" w:rsidRDefault="00000000">
            <w:pPr>
              <w:spacing w:before="100"/>
              <w:rPr>
                <w:color w:val="000000"/>
                <w:sz w:val="16"/>
              </w:rPr>
            </w:pPr>
            <w:r>
              <w:rPr>
                <w:color w:val="000000"/>
                <w:sz w:val="16"/>
              </w:rPr>
              <w:t>MTRFINALv18122025</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048C486E" w14:textId="77777777" w:rsidR="00A77B3E" w:rsidRDefault="00000000">
            <w:pPr>
              <w:spacing w:before="100"/>
              <w:rPr>
                <w:color w:val="000000"/>
                <w:sz w:val="16"/>
              </w:rPr>
            </w:pPr>
            <w:r>
              <w:rPr>
                <w:color w:val="000000"/>
                <w:sz w:val="16"/>
              </w:rPr>
              <w:t>Ares(2026)1799767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4C36706" w14:textId="77777777" w:rsidR="00A77B3E" w:rsidRDefault="00000000">
            <w:pPr>
              <w:spacing w:before="100"/>
              <w:rPr>
                <w:color w:val="000000"/>
                <w:sz w:val="16"/>
              </w:rPr>
            </w:pPr>
            <w:r>
              <w:rPr>
                <w:color w:val="000000"/>
                <w:sz w:val="16"/>
              </w:rPr>
              <w:t>2021IE16RFPR002 SEM Mid Term Review FINAL</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7541A76" w14:textId="77777777" w:rsidR="00A77B3E" w:rsidRDefault="00000000">
            <w:pPr>
              <w:spacing w:before="100"/>
              <w:rPr>
                <w:color w:val="000000"/>
                <w:sz w:val="16"/>
              </w:rPr>
            </w:pPr>
            <w:r>
              <w:rPr>
                <w:color w:val="000000"/>
                <w:sz w:val="16"/>
              </w:rPr>
              <w:t>17 Feb 2026</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6087ED11" w14:textId="77777777" w:rsidR="00A77B3E" w:rsidRDefault="00000000">
            <w:pPr>
              <w:spacing w:before="100"/>
              <w:rPr>
                <w:color w:val="000000"/>
                <w:sz w:val="16"/>
              </w:rPr>
            </w:pPr>
            <w:r>
              <w:rPr>
                <w:color w:val="000000"/>
                <w:sz w:val="16"/>
              </w:rPr>
              <w:t>Hogan, Enda</w:t>
            </w:r>
          </w:p>
        </w:tc>
      </w:tr>
      <w:tr w:rsidR="00B82D50" w14:paraId="6AA5F728" w14:textId="77777777">
        <w:trPr>
          <w:trHeight w:val="240"/>
        </w:trPr>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4ABBDE3" w14:textId="77777777" w:rsidR="00A77B3E" w:rsidRDefault="00000000">
            <w:pPr>
              <w:spacing w:before="100"/>
              <w:rPr>
                <w:color w:val="000000"/>
                <w:sz w:val="16"/>
              </w:rPr>
            </w:pPr>
            <w:r>
              <w:rPr>
                <w:color w:val="000000"/>
                <w:sz w:val="16"/>
              </w:rPr>
              <w:t>Programme snapshot 2021IE16RFPR002 3.2</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BA0843B" w14:textId="77777777" w:rsidR="00A77B3E" w:rsidRDefault="00000000">
            <w:pPr>
              <w:spacing w:before="100"/>
              <w:rPr>
                <w:color w:val="000000"/>
                <w:sz w:val="16"/>
              </w:rPr>
            </w:pPr>
            <w:r>
              <w:rPr>
                <w:color w:val="000000"/>
                <w:sz w:val="16"/>
              </w:rPr>
              <w:t>Snapshot of data before send</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7FDB250" w14:textId="77777777" w:rsidR="00A77B3E" w:rsidRDefault="00000000">
            <w:pPr>
              <w:spacing w:before="100"/>
              <w:rPr>
                <w:color w:val="000000"/>
                <w:sz w:val="16"/>
              </w:rPr>
            </w:pPr>
            <w:r>
              <w:rPr>
                <w:color w:val="000000"/>
                <w:sz w:val="16"/>
              </w:rPr>
              <w:t>17 Feb 2026</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7AAE6998" w14:textId="77777777" w:rsidR="00A77B3E" w:rsidRDefault="00A77B3E">
            <w:pPr>
              <w:spacing w:before="100"/>
              <w:rPr>
                <w:color w:val="000000"/>
                <w:sz w:val="16"/>
              </w:rPr>
            </w:pP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015F7D0" w14:textId="77777777" w:rsidR="00A77B3E" w:rsidRDefault="00000000">
            <w:pPr>
              <w:spacing w:before="100"/>
              <w:rPr>
                <w:color w:val="000000"/>
                <w:sz w:val="16"/>
              </w:rPr>
            </w:pPr>
            <w:r>
              <w:rPr>
                <w:color w:val="000000"/>
                <w:sz w:val="16"/>
              </w:rPr>
              <w:t>Ares(2026)1799767</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35D0A953" w14:textId="77777777" w:rsidR="00A77B3E" w:rsidRDefault="00000000">
            <w:pPr>
              <w:spacing w:before="100"/>
              <w:rPr>
                <w:color w:val="000000"/>
                <w:sz w:val="16"/>
              </w:rPr>
            </w:pPr>
            <w:r>
              <w:rPr>
                <w:color w:val="000000"/>
                <w:sz w:val="16"/>
              </w:rPr>
              <w:t>Programme_snapshot_2021IE16RFPR002_3.2_en.pdf</w:t>
            </w:r>
          </w:p>
        </w:tc>
        <w:tc>
          <w:tcPr>
            <w:tcW w:w="10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20FCA8ED" w14:textId="77777777" w:rsidR="00A77B3E" w:rsidRDefault="00000000">
            <w:pPr>
              <w:spacing w:before="100"/>
              <w:rPr>
                <w:color w:val="000000"/>
                <w:sz w:val="16"/>
              </w:rPr>
            </w:pPr>
            <w:r>
              <w:rPr>
                <w:color w:val="000000"/>
                <w:sz w:val="16"/>
              </w:rPr>
              <w:t>17 Feb 2026</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100" w:type="dxa"/>
              <w:right w:w="60" w:type="dxa"/>
            </w:tcMar>
          </w:tcPr>
          <w:p w14:paraId="17E9426C" w14:textId="77777777" w:rsidR="00A77B3E" w:rsidRDefault="00000000">
            <w:pPr>
              <w:spacing w:before="100"/>
              <w:rPr>
                <w:color w:val="000000"/>
                <w:sz w:val="16"/>
              </w:rPr>
            </w:pPr>
            <w:r>
              <w:rPr>
                <w:color w:val="000000"/>
                <w:sz w:val="16"/>
              </w:rPr>
              <w:t>Hogan, Enda</w:t>
            </w:r>
          </w:p>
        </w:tc>
      </w:tr>
    </w:tbl>
    <w:p w14:paraId="7C07B622" w14:textId="77777777" w:rsidR="00A77B3E" w:rsidRDefault="00A77B3E">
      <w:pPr>
        <w:spacing w:before="100"/>
        <w:jc w:val="center"/>
        <w:rPr>
          <w:color w:val="000000"/>
          <w:sz w:val="16"/>
        </w:rPr>
      </w:pPr>
    </w:p>
    <w:sectPr w:rsidR="00A77B3E">
      <w:headerReference w:type="even" r:id="rId73"/>
      <w:headerReference w:type="default" r:id="rId74"/>
      <w:footerReference w:type="even" r:id="rId75"/>
      <w:footerReference w:type="default" r:id="rId76"/>
      <w:headerReference w:type="first" r:id="rId77"/>
      <w:footerReference w:type="first" r:id="rId78"/>
      <w:pgSz w:w="16838" w:h="11906" w:orient="landscape"/>
      <w:pgMar w:top="720" w:right="720" w:bottom="864" w:left="936" w:header="288" w:footer="72"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0D8F3" w14:textId="77777777" w:rsidR="009773A3" w:rsidRDefault="009773A3">
      <w:r>
        <w:separator/>
      </w:r>
    </w:p>
  </w:endnote>
  <w:endnote w:type="continuationSeparator" w:id="0">
    <w:p w14:paraId="77682437" w14:textId="77777777" w:rsidR="009773A3" w:rsidRDefault="0097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57CE2" w14:textId="77777777" w:rsidR="00B82D50" w:rsidRDefault="00B82D5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6C67" w14:textId="77777777" w:rsidR="00B82D50" w:rsidRDefault="00B82D5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7C6825F4" w14:textId="77777777">
      <w:tc>
        <w:tcPr>
          <w:tcW w:w="0" w:type="auto"/>
          <w:tcMar>
            <w:top w:w="0" w:type="dxa"/>
            <w:left w:w="60" w:type="dxa"/>
            <w:bottom w:w="80" w:type="dxa"/>
            <w:right w:w="60" w:type="dxa"/>
          </w:tcMar>
        </w:tcPr>
        <w:p w14:paraId="5279F933"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tcPr>
        <w:p w14:paraId="2C59EC53"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68</w:t>
          </w:r>
          <w:r>
            <w:rPr>
              <w:b/>
              <w:color w:val="000000"/>
            </w:rPr>
            <w:fldChar w:fldCharType="end"/>
          </w:r>
        </w:p>
      </w:tc>
      <w:tc>
        <w:tcPr>
          <w:tcW w:w="0" w:type="auto"/>
          <w:tcMar>
            <w:top w:w="0" w:type="dxa"/>
            <w:left w:w="60" w:type="dxa"/>
            <w:bottom w:w="80" w:type="dxa"/>
            <w:right w:w="60" w:type="dxa"/>
          </w:tcMar>
        </w:tcPr>
        <w:p w14:paraId="10CBFAFB" w14:textId="77777777" w:rsidR="00B82D50" w:rsidRDefault="00000000">
          <w:pPr>
            <w:jc w:val="right"/>
            <w:rPr>
              <w:b/>
              <w:color w:val="000000"/>
              <w:sz w:val="32"/>
            </w:rPr>
          </w:pPr>
          <w:r>
            <w:rPr>
              <w:b/>
              <w:color w:val="000000"/>
              <w:sz w:val="32"/>
            </w:rPr>
            <w:t>EN</w:t>
          </w:r>
        </w:p>
      </w:tc>
    </w:tr>
  </w:tbl>
  <w:p w14:paraId="4284F960" w14:textId="77777777" w:rsidR="00B82D50" w:rsidRDefault="00B82D50">
    <w:pPr>
      <w:rPr>
        <w:b/>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5EC0" w14:textId="77777777" w:rsidR="00B82D50" w:rsidRDefault="00B82D50"/>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281D9" w14:textId="77777777" w:rsidR="00B82D50" w:rsidRDefault="00B82D5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4BEEA197" w14:textId="77777777">
      <w:tc>
        <w:tcPr>
          <w:tcW w:w="0" w:type="auto"/>
          <w:tcMar>
            <w:top w:w="0" w:type="dxa"/>
            <w:left w:w="60" w:type="dxa"/>
            <w:bottom w:w="80" w:type="dxa"/>
            <w:right w:w="60" w:type="dxa"/>
          </w:tcMar>
        </w:tcPr>
        <w:p w14:paraId="74E8EF30"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tcPr>
        <w:p w14:paraId="272CFDD3"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88</w:t>
          </w:r>
          <w:r>
            <w:rPr>
              <w:b/>
              <w:color w:val="000000"/>
            </w:rPr>
            <w:fldChar w:fldCharType="end"/>
          </w:r>
        </w:p>
      </w:tc>
      <w:tc>
        <w:tcPr>
          <w:tcW w:w="0" w:type="auto"/>
          <w:tcMar>
            <w:top w:w="0" w:type="dxa"/>
            <w:left w:w="60" w:type="dxa"/>
            <w:bottom w:w="80" w:type="dxa"/>
            <w:right w:w="60" w:type="dxa"/>
          </w:tcMar>
        </w:tcPr>
        <w:p w14:paraId="04124506" w14:textId="77777777" w:rsidR="00B82D50" w:rsidRDefault="00000000">
          <w:pPr>
            <w:jc w:val="right"/>
            <w:rPr>
              <w:b/>
              <w:color w:val="000000"/>
              <w:sz w:val="32"/>
            </w:rPr>
          </w:pPr>
          <w:r>
            <w:rPr>
              <w:b/>
              <w:color w:val="000000"/>
              <w:sz w:val="32"/>
            </w:rPr>
            <w:t>EN</w:t>
          </w:r>
        </w:p>
      </w:tc>
    </w:tr>
  </w:tbl>
  <w:p w14:paraId="1CB9F05B" w14:textId="77777777" w:rsidR="00B82D50" w:rsidRDefault="00B82D50">
    <w:pPr>
      <w:rPr>
        <w:b/>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B2DB" w14:textId="77777777" w:rsidR="00B82D50" w:rsidRDefault="00B82D50"/>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C730A" w14:textId="77777777" w:rsidR="00B82D50" w:rsidRDefault="00B82D50"/>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360FE6B5" w14:textId="77777777">
      <w:trPr>
        <w:trHeight w:val="160"/>
      </w:trPr>
      <w:tc>
        <w:tcPr>
          <w:tcW w:w="0" w:type="auto"/>
          <w:tcMar>
            <w:top w:w="0" w:type="dxa"/>
            <w:left w:w="60" w:type="dxa"/>
            <w:bottom w:w="80" w:type="dxa"/>
            <w:right w:w="60" w:type="dxa"/>
          </w:tcMar>
          <w:vAlign w:val="center"/>
        </w:tcPr>
        <w:p w14:paraId="7A264B17"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vAlign w:val="center"/>
        </w:tcPr>
        <w:p w14:paraId="2A1BADAA"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96</w:t>
          </w:r>
          <w:r>
            <w:rPr>
              <w:b/>
              <w:color w:val="000000"/>
            </w:rPr>
            <w:fldChar w:fldCharType="end"/>
          </w:r>
        </w:p>
      </w:tc>
      <w:tc>
        <w:tcPr>
          <w:tcW w:w="0" w:type="auto"/>
          <w:tcMar>
            <w:top w:w="0" w:type="dxa"/>
            <w:left w:w="60" w:type="dxa"/>
            <w:bottom w:w="80" w:type="dxa"/>
            <w:right w:w="60" w:type="dxa"/>
          </w:tcMar>
          <w:vAlign w:val="center"/>
        </w:tcPr>
        <w:p w14:paraId="02E2136D" w14:textId="77777777" w:rsidR="00B82D50" w:rsidRDefault="00000000">
          <w:pPr>
            <w:jc w:val="right"/>
            <w:rPr>
              <w:b/>
              <w:color w:val="000000"/>
              <w:sz w:val="32"/>
            </w:rPr>
          </w:pPr>
          <w:r>
            <w:rPr>
              <w:b/>
              <w:color w:val="000000"/>
              <w:sz w:val="32"/>
            </w:rPr>
            <w:t>EN</w:t>
          </w:r>
        </w:p>
      </w:tc>
    </w:tr>
  </w:tbl>
  <w:p w14:paraId="1B128ABF" w14:textId="77777777" w:rsidR="00B82D50" w:rsidRDefault="00B82D50">
    <w:pPr>
      <w:rPr>
        <w:b/>
        <w:color w:val="00000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AAD8B" w14:textId="77777777" w:rsidR="00B82D50" w:rsidRDefault="00B82D50"/>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83E2" w14:textId="77777777" w:rsidR="00B82D50" w:rsidRDefault="00B82D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107"/>
      <w:gridCol w:w="2037"/>
      <w:gridCol w:w="4106"/>
    </w:tblGrid>
    <w:tr w:rsidR="00B82D50" w14:paraId="3D72F5E5" w14:textId="77777777">
      <w:trPr>
        <w:trHeight w:val="240"/>
      </w:trPr>
      <w:tc>
        <w:tcPr>
          <w:tcW w:w="0" w:type="auto"/>
          <w:tcMar>
            <w:left w:w="100" w:type="dxa"/>
            <w:right w:w="100" w:type="dxa"/>
          </w:tcMar>
        </w:tcPr>
        <w:p w14:paraId="5D79F1D8" w14:textId="77777777" w:rsidR="00B82D50" w:rsidRDefault="00000000">
          <w:pPr>
            <w:rPr>
              <w:b/>
              <w:color w:val="000000"/>
            </w:rPr>
          </w:pPr>
          <w:r>
            <w:rPr>
              <w:b/>
              <w:color w:val="000000"/>
              <w:sz w:val="32"/>
            </w:rPr>
            <w:t>EN</w:t>
          </w:r>
        </w:p>
      </w:tc>
      <w:tc>
        <w:tcPr>
          <w:tcW w:w="0" w:type="auto"/>
          <w:tcMar>
            <w:left w:w="100" w:type="dxa"/>
            <w:right w:w="100" w:type="dxa"/>
          </w:tcMar>
        </w:tcPr>
        <w:p w14:paraId="2A3FD7D1"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15</w:t>
          </w:r>
          <w:r>
            <w:rPr>
              <w:b/>
              <w:color w:val="000000"/>
            </w:rPr>
            <w:fldChar w:fldCharType="end"/>
          </w:r>
        </w:p>
      </w:tc>
      <w:tc>
        <w:tcPr>
          <w:tcW w:w="0" w:type="auto"/>
          <w:tcMar>
            <w:left w:w="100" w:type="dxa"/>
            <w:right w:w="100" w:type="dxa"/>
          </w:tcMar>
        </w:tcPr>
        <w:p w14:paraId="6E47396D" w14:textId="77777777" w:rsidR="00B82D50" w:rsidRDefault="00000000">
          <w:pPr>
            <w:jc w:val="right"/>
            <w:rPr>
              <w:b/>
              <w:color w:val="000000"/>
              <w:sz w:val="32"/>
            </w:rPr>
          </w:pPr>
          <w:r>
            <w:rPr>
              <w:b/>
              <w:color w:val="000000"/>
              <w:sz w:val="32"/>
            </w:rPr>
            <w:t>EN</w:t>
          </w:r>
        </w:p>
      </w:tc>
    </w:tr>
  </w:tbl>
  <w:p w14:paraId="7E503039" w14:textId="77777777" w:rsidR="00B82D50" w:rsidRDefault="00B82D50">
    <w:pPr>
      <w:rPr>
        <w:b/>
        <w:color w:val="00000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71580279" w14:textId="77777777">
      <w:tc>
        <w:tcPr>
          <w:tcW w:w="0" w:type="auto"/>
          <w:tcMar>
            <w:top w:w="0" w:type="dxa"/>
            <w:left w:w="60" w:type="dxa"/>
            <w:bottom w:w="80" w:type="dxa"/>
            <w:right w:w="60" w:type="dxa"/>
          </w:tcMar>
        </w:tcPr>
        <w:p w14:paraId="5ACF081F"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tcPr>
        <w:p w14:paraId="5377867F"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97</w:t>
          </w:r>
          <w:r>
            <w:rPr>
              <w:b/>
              <w:color w:val="000000"/>
            </w:rPr>
            <w:fldChar w:fldCharType="end"/>
          </w:r>
        </w:p>
      </w:tc>
      <w:tc>
        <w:tcPr>
          <w:tcW w:w="0" w:type="auto"/>
          <w:tcMar>
            <w:top w:w="0" w:type="dxa"/>
            <w:left w:w="60" w:type="dxa"/>
            <w:bottom w:w="80" w:type="dxa"/>
            <w:right w:w="60" w:type="dxa"/>
          </w:tcMar>
        </w:tcPr>
        <w:p w14:paraId="2B6F8BEE" w14:textId="77777777" w:rsidR="00B82D50" w:rsidRDefault="00000000">
          <w:pPr>
            <w:jc w:val="right"/>
            <w:rPr>
              <w:b/>
              <w:color w:val="000000"/>
              <w:sz w:val="32"/>
            </w:rPr>
          </w:pPr>
          <w:r>
            <w:rPr>
              <w:b/>
              <w:color w:val="000000"/>
              <w:sz w:val="32"/>
            </w:rPr>
            <w:t>EN</w:t>
          </w:r>
        </w:p>
      </w:tc>
    </w:tr>
  </w:tbl>
  <w:p w14:paraId="5863D411" w14:textId="77777777" w:rsidR="00B82D50" w:rsidRDefault="00B82D50">
    <w:pPr>
      <w:rPr>
        <w:b/>
        <w:color w:val="00000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FF99" w14:textId="77777777" w:rsidR="00B82D50" w:rsidRDefault="00B82D50"/>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4E84" w14:textId="77777777" w:rsidR="00B82D50" w:rsidRDefault="00B82D50"/>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34E83405" w14:textId="77777777">
      <w:tc>
        <w:tcPr>
          <w:tcW w:w="0" w:type="auto"/>
          <w:tcMar>
            <w:top w:w="0" w:type="dxa"/>
            <w:left w:w="60" w:type="dxa"/>
            <w:bottom w:w="80" w:type="dxa"/>
            <w:right w:w="60" w:type="dxa"/>
          </w:tcMar>
        </w:tcPr>
        <w:p w14:paraId="715B07EF"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tcPr>
        <w:p w14:paraId="4C4C5761"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102</w:t>
          </w:r>
          <w:r>
            <w:rPr>
              <w:b/>
              <w:color w:val="000000"/>
            </w:rPr>
            <w:fldChar w:fldCharType="end"/>
          </w:r>
        </w:p>
      </w:tc>
      <w:tc>
        <w:tcPr>
          <w:tcW w:w="0" w:type="auto"/>
          <w:tcMar>
            <w:top w:w="0" w:type="dxa"/>
            <w:left w:w="60" w:type="dxa"/>
            <w:bottom w:w="80" w:type="dxa"/>
            <w:right w:w="60" w:type="dxa"/>
          </w:tcMar>
        </w:tcPr>
        <w:p w14:paraId="27C1124F" w14:textId="77777777" w:rsidR="00B82D50" w:rsidRDefault="00000000">
          <w:pPr>
            <w:jc w:val="right"/>
            <w:rPr>
              <w:b/>
              <w:color w:val="000000"/>
              <w:sz w:val="32"/>
            </w:rPr>
          </w:pPr>
          <w:r>
            <w:rPr>
              <w:b/>
              <w:color w:val="000000"/>
              <w:sz w:val="32"/>
            </w:rPr>
            <w:t>EN</w:t>
          </w:r>
        </w:p>
      </w:tc>
    </w:tr>
  </w:tbl>
  <w:p w14:paraId="4B207D0E" w14:textId="77777777" w:rsidR="00B82D50" w:rsidRDefault="00B82D50">
    <w:pPr>
      <w:rPr>
        <w:b/>
        <w:color w:val="00000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C1E8" w14:textId="77777777" w:rsidR="00B82D50" w:rsidRDefault="00B82D50"/>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6490" w14:textId="77777777" w:rsidR="00B82D50" w:rsidRDefault="00B82D50"/>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40440B90" w14:textId="77777777">
      <w:trPr>
        <w:trHeight w:val="160"/>
      </w:trPr>
      <w:tc>
        <w:tcPr>
          <w:tcW w:w="0" w:type="auto"/>
          <w:tcMar>
            <w:top w:w="0" w:type="dxa"/>
            <w:left w:w="60" w:type="dxa"/>
            <w:bottom w:w="80" w:type="dxa"/>
            <w:right w:w="60" w:type="dxa"/>
          </w:tcMar>
          <w:vAlign w:val="center"/>
        </w:tcPr>
        <w:p w14:paraId="4A044523"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vAlign w:val="center"/>
        </w:tcPr>
        <w:p w14:paraId="20DD1A58"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103</w:t>
          </w:r>
          <w:r>
            <w:rPr>
              <w:b/>
              <w:color w:val="000000"/>
            </w:rPr>
            <w:fldChar w:fldCharType="end"/>
          </w:r>
        </w:p>
      </w:tc>
      <w:tc>
        <w:tcPr>
          <w:tcW w:w="0" w:type="auto"/>
          <w:tcMar>
            <w:top w:w="0" w:type="dxa"/>
            <w:left w:w="60" w:type="dxa"/>
            <w:bottom w:w="80" w:type="dxa"/>
            <w:right w:w="60" w:type="dxa"/>
          </w:tcMar>
          <w:vAlign w:val="center"/>
        </w:tcPr>
        <w:p w14:paraId="5D487882" w14:textId="77777777" w:rsidR="00B82D50" w:rsidRDefault="00000000">
          <w:pPr>
            <w:jc w:val="right"/>
            <w:rPr>
              <w:b/>
              <w:color w:val="000000"/>
              <w:sz w:val="32"/>
            </w:rPr>
          </w:pPr>
          <w:r>
            <w:rPr>
              <w:b/>
              <w:color w:val="000000"/>
              <w:sz w:val="32"/>
            </w:rPr>
            <w:t>EN</w:t>
          </w:r>
        </w:p>
      </w:tc>
    </w:tr>
  </w:tbl>
  <w:p w14:paraId="0D7C6237" w14:textId="77777777" w:rsidR="00B82D50" w:rsidRDefault="00B82D50">
    <w:pPr>
      <w:rPr>
        <w:b/>
        <w:color w:val="00000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2889" w14:textId="77777777" w:rsidR="00B82D50" w:rsidRDefault="00B82D50"/>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FEF0" w14:textId="77777777" w:rsidR="00B82D50" w:rsidRDefault="00B82D50"/>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0E7AD276" w14:textId="77777777">
      <w:tc>
        <w:tcPr>
          <w:tcW w:w="0" w:type="auto"/>
          <w:tcMar>
            <w:top w:w="0" w:type="dxa"/>
            <w:left w:w="60" w:type="dxa"/>
            <w:bottom w:w="80" w:type="dxa"/>
            <w:right w:w="60" w:type="dxa"/>
          </w:tcMar>
          <w:vAlign w:val="center"/>
        </w:tcPr>
        <w:p w14:paraId="1C505518"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vAlign w:val="center"/>
        </w:tcPr>
        <w:p w14:paraId="50DD4911"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104</w:t>
          </w:r>
          <w:r>
            <w:rPr>
              <w:b/>
              <w:color w:val="000000"/>
            </w:rPr>
            <w:fldChar w:fldCharType="end"/>
          </w:r>
        </w:p>
      </w:tc>
      <w:tc>
        <w:tcPr>
          <w:tcW w:w="0" w:type="auto"/>
          <w:tcMar>
            <w:top w:w="0" w:type="dxa"/>
            <w:left w:w="60" w:type="dxa"/>
            <w:bottom w:w="80" w:type="dxa"/>
            <w:right w:w="60" w:type="dxa"/>
          </w:tcMar>
          <w:vAlign w:val="center"/>
        </w:tcPr>
        <w:p w14:paraId="5448F8BA" w14:textId="77777777" w:rsidR="00B82D50" w:rsidRDefault="00000000">
          <w:pPr>
            <w:jc w:val="right"/>
            <w:rPr>
              <w:b/>
              <w:color w:val="000000"/>
              <w:sz w:val="32"/>
            </w:rPr>
          </w:pPr>
          <w:r>
            <w:rPr>
              <w:b/>
              <w:color w:val="000000"/>
              <w:sz w:val="32"/>
            </w:rPr>
            <w:t>EN</w:t>
          </w:r>
        </w:p>
      </w:tc>
    </w:tr>
  </w:tbl>
  <w:p w14:paraId="18E8B902" w14:textId="77777777" w:rsidR="00B82D50" w:rsidRDefault="00B82D50">
    <w:pPr>
      <w:rPr>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69AD" w14:textId="77777777" w:rsidR="00B82D50" w:rsidRDefault="00B82D50"/>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97E6" w14:textId="77777777" w:rsidR="00B82D50" w:rsidRDefault="00B82D50"/>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01C57" w14:textId="77777777" w:rsidR="00B82D50" w:rsidRDefault="00B82D50"/>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757261D5" w14:textId="77777777">
      <w:tc>
        <w:tcPr>
          <w:tcW w:w="0" w:type="auto"/>
          <w:tcMar>
            <w:top w:w="0" w:type="dxa"/>
            <w:left w:w="60" w:type="dxa"/>
            <w:bottom w:w="80" w:type="dxa"/>
            <w:right w:w="60" w:type="dxa"/>
          </w:tcMar>
          <w:vAlign w:val="center"/>
        </w:tcPr>
        <w:p w14:paraId="330C8693"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vAlign w:val="center"/>
        </w:tcPr>
        <w:p w14:paraId="02938CFF"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105</w:t>
          </w:r>
          <w:r>
            <w:rPr>
              <w:b/>
              <w:color w:val="000000"/>
            </w:rPr>
            <w:fldChar w:fldCharType="end"/>
          </w:r>
        </w:p>
      </w:tc>
      <w:tc>
        <w:tcPr>
          <w:tcW w:w="0" w:type="auto"/>
          <w:tcMar>
            <w:top w:w="0" w:type="dxa"/>
            <w:left w:w="60" w:type="dxa"/>
            <w:bottom w:w="80" w:type="dxa"/>
            <w:right w:w="60" w:type="dxa"/>
          </w:tcMar>
          <w:vAlign w:val="center"/>
        </w:tcPr>
        <w:p w14:paraId="7194D313" w14:textId="77777777" w:rsidR="00B82D50" w:rsidRDefault="00000000">
          <w:pPr>
            <w:jc w:val="right"/>
            <w:rPr>
              <w:b/>
              <w:color w:val="000000"/>
              <w:sz w:val="32"/>
            </w:rPr>
          </w:pPr>
          <w:r>
            <w:rPr>
              <w:b/>
              <w:color w:val="000000"/>
              <w:sz w:val="32"/>
            </w:rPr>
            <w:t>EN</w:t>
          </w:r>
        </w:p>
      </w:tc>
    </w:tr>
  </w:tbl>
  <w:p w14:paraId="402028BB" w14:textId="77777777" w:rsidR="00B82D50" w:rsidRDefault="00B82D50">
    <w:pPr>
      <w:rPr>
        <w:b/>
        <w:color w:val="000000"/>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625B" w14:textId="77777777" w:rsidR="00B82D50" w:rsidRDefault="00B82D50"/>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9D98" w14:textId="77777777" w:rsidR="00B82D50" w:rsidRDefault="00B82D50"/>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0DD77A4F" w14:textId="77777777">
      <w:trPr>
        <w:trHeight w:val="160"/>
      </w:trPr>
      <w:tc>
        <w:tcPr>
          <w:tcW w:w="0" w:type="auto"/>
          <w:tcMar>
            <w:top w:w="0" w:type="dxa"/>
            <w:left w:w="60" w:type="dxa"/>
            <w:bottom w:w="80" w:type="dxa"/>
            <w:right w:w="60" w:type="dxa"/>
          </w:tcMar>
          <w:vAlign w:val="center"/>
        </w:tcPr>
        <w:p w14:paraId="3E0F5183"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vAlign w:val="center"/>
        </w:tcPr>
        <w:p w14:paraId="6CB6F158"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106</w:t>
          </w:r>
          <w:r>
            <w:rPr>
              <w:b/>
              <w:color w:val="000000"/>
            </w:rPr>
            <w:fldChar w:fldCharType="end"/>
          </w:r>
        </w:p>
      </w:tc>
      <w:tc>
        <w:tcPr>
          <w:tcW w:w="0" w:type="auto"/>
          <w:tcMar>
            <w:top w:w="0" w:type="dxa"/>
            <w:left w:w="60" w:type="dxa"/>
            <w:bottom w:w="80" w:type="dxa"/>
            <w:right w:w="60" w:type="dxa"/>
          </w:tcMar>
          <w:vAlign w:val="center"/>
        </w:tcPr>
        <w:p w14:paraId="4155A63E" w14:textId="77777777" w:rsidR="00B82D50" w:rsidRDefault="00000000">
          <w:pPr>
            <w:jc w:val="right"/>
            <w:rPr>
              <w:b/>
              <w:color w:val="000000"/>
              <w:sz w:val="32"/>
            </w:rPr>
          </w:pPr>
          <w:r>
            <w:rPr>
              <w:b/>
              <w:color w:val="000000"/>
              <w:sz w:val="32"/>
            </w:rPr>
            <w:t>EN</w:t>
          </w:r>
        </w:p>
      </w:tc>
    </w:tr>
  </w:tbl>
  <w:p w14:paraId="1E7BDDC0" w14:textId="77777777" w:rsidR="00B82D50" w:rsidRDefault="00B82D50">
    <w:pPr>
      <w:rPr>
        <w:b/>
        <w:color w:val="00000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D530" w14:textId="77777777" w:rsidR="00B82D50" w:rsidRDefault="00B82D5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5A111" w14:textId="77777777" w:rsidR="00B82D50" w:rsidRDefault="00B82D5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227"/>
      <w:gridCol w:w="1796"/>
      <w:gridCol w:w="4227"/>
    </w:tblGrid>
    <w:tr w:rsidR="00B82D50" w14:paraId="6116F6F0" w14:textId="77777777">
      <w:trPr>
        <w:trHeight w:val="160"/>
      </w:trPr>
      <w:tc>
        <w:tcPr>
          <w:tcW w:w="0" w:type="auto"/>
          <w:tcMar>
            <w:top w:w="0" w:type="dxa"/>
            <w:left w:w="60" w:type="dxa"/>
            <w:bottom w:w="80" w:type="dxa"/>
            <w:right w:w="60" w:type="dxa"/>
          </w:tcMar>
          <w:vAlign w:val="center"/>
        </w:tcPr>
        <w:p w14:paraId="1EDB1F3A" w14:textId="77777777" w:rsidR="00B82D50" w:rsidRDefault="00000000">
          <w:pPr>
            <w:rPr>
              <w:b/>
              <w:color w:val="000000"/>
            </w:rPr>
          </w:pPr>
          <w:r>
            <w:rPr>
              <w:b/>
              <w:color w:val="000000"/>
              <w:sz w:val="32"/>
            </w:rPr>
            <w:t>EN</w:t>
          </w:r>
        </w:p>
      </w:tc>
      <w:tc>
        <w:tcPr>
          <w:tcW w:w="0" w:type="auto"/>
          <w:tcMar>
            <w:top w:w="0" w:type="dxa"/>
            <w:left w:w="60" w:type="dxa"/>
            <w:bottom w:w="80" w:type="dxa"/>
            <w:right w:w="60" w:type="dxa"/>
          </w:tcMar>
          <w:vAlign w:val="center"/>
        </w:tcPr>
        <w:p w14:paraId="5749AD9D"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24</w:t>
          </w:r>
          <w:r>
            <w:rPr>
              <w:b/>
              <w:color w:val="000000"/>
            </w:rPr>
            <w:fldChar w:fldCharType="end"/>
          </w:r>
        </w:p>
      </w:tc>
      <w:tc>
        <w:tcPr>
          <w:tcW w:w="0" w:type="auto"/>
          <w:tcMar>
            <w:top w:w="0" w:type="dxa"/>
            <w:left w:w="60" w:type="dxa"/>
            <w:bottom w:w="80" w:type="dxa"/>
            <w:right w:w="60" w:type="dxa"/>
          </w:tcMar>
          <w:vAlign w:val="center"/>
        </w:tcPr>
        <w:p w14:paraId="40964D0E" w14:textId="77777777" w:rsidR="00B82D50" w:rsidRDefault="00000000">
          <w:pPr>
            <w:jc w:val="right"/>
            <w:rPr>
              <w:b/>
              <w:color w:val="000000"/>
              <w:sz w:val="32"/>
            </w:rPr>
          </w:pPr>
          <w:r>
            <w:rPr>
              <w:b/>
              <w:color w:val="000000"/>
              <w:sz w:val="32"/>
            </w:rPr>
            <w:t>EN</w:t>
          </w:r>
        </w:p>
      </w:tc>
    </w:tr>
  </w:tbl>
  <w:p w14:paraId="490C41C2" w14:textId="77777777" w:rsidR="00B82D50" w:rsidRDefault="00B82D50">
    <w:pPr>
      <w:rPr>
        <w:b/>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7B689" w14:textId="77777777" w:rsidR="00B82D50" w:rsidRDefault="00B82D5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93C35" w14:textId="77777777" w:rsidR="00B82D50" w:rsidRDefault="00B82D5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4107"/>
      <w:gridCol w:w="2037"/>
      <w:gridCol w:w="4106"/>
    </w:tblGrid>
    <w:tr w:rsidR="00B82D50" w14:paraId="4C65C35C" w14:textId="77777777">
      <w:trPr>
        <w:trHeight w:val="160"/>
      </w:trPr>
      <w:tc>
        <w:tcPr>
          <w:tcW w:w="0" w:type="auto"/>
          <w:tcMar>
            <w:top w:w="0" w:type="dxa"/>
            <w:left w:w="100" w:type="dxa"/>
            <w:bottom w:w="80" w:type="dxa"/>
            <w:right w:w="100" w:type="dxa"/>
          </w:tcMar>
        </w:tcPr>
        <w:p w14:paraId="4CA24B99" w14:textId="77777777" w:rsidR="00B82D50" w:rsidRDefault="00000000">
          <w:pPr>
            <w:rPr>
              <w:b/>
              <w:color w:val="000000"/>
            </w:rPr>
          </w:pPr>
          <w:r>
            <w:rPr>
              <w:b/>
              <w:color w:val="000000"/>
              <w:sz w:val="32"/>
            </w:rPr>
            <w:t>EN</w:t>
          </w:r>
        </w:p>
      </w:tc>
      <w:tc>
        <w:tcPr>
          <w:tcW w:w="0" w:type="auto"/>
          <w:tcMar>
            <w:top w:w="0" w:type="dxa"/>
            <w:left w:w="100" w:type="dxa"/>
            <w:bottom w:w="80" w:type="dxa"/>
            <w:right w:w="100" w:type="dxa"/>
          </w:tcMar>
        </w:tcPr>
        <w:p w14:paraId="093B0C1F" w14:textId="77777777" w:rsidR="00B82D50" w:rsidRDefault="00000000">
          <w:pPr>
            <w:jc w:val="center"/>
            <w:rPr>
              <w:b/>
              <w:color w:val="000000"/>
              <w:sz w:val="32"/>
            </w:rPr>
          </w:pPr>
          <w:r>
            <w:rPr>
              <w:b/>
              <w:color w:val="000000"/>
            </w:rPr>
            <w:fldChar w:fldCharType="begin"/>
          </w:r>
          <w:r>
            <w:rPr>
              <w:b/>
              <w:color w:val="000000"/>
            </w:rPr>
            <w:instrText>PAGE</w:instrText>
          </w:r>
          <w:r>
            <w:rPr>
              <w:b/>
              <w:color w:val="000000"/>
            </w:rPr>
            <w:fldChar w:fldCharType="separate"/>
          </w:r>
          <w:r>
            <w:rPr>
              <w:b/>
              <w:noProof/>
              <w:color w:val="000000"/>
            </w:rPr>
            <w:t>62</w:t>
          </w:r>
          <w:r>
            <w:rPr>
              <w:b/>
              <w:color w:val="000000"/>
            </w:rPr>
            <w:fldChar w:fldCharType="end"/>
          </w:r>
        </w:p>
      </w:tc>
      <w:tc>
        <w:tcPr>
          <w:tcW w:w="0" w:type="auto"/>
          <w:tcMar>
            <w:top w:w="0" w:type="dxa"/>
            <w:left w:w="100" w:type="dxa"/>
            <w:bottom w:w="80" w:type="dxa"/>
            <w:right w:w="100" w:type="dxa"/>
          </w:tcMar>
        </w:tcPr>
        <w:p w14:paraId="394CA514" w14:textId="77777777" w:rsidR="00B82D50" w:rsidRDefault="00000000">
          <w:pPr>
            <w:jc w:val="right"/>
            <w:rPr>
              <w:b/>
              <w:color w:val="000000"/>
              <w:sz w:val="32"/>
            </w:rPr>
          </w:pPr>
          <w:r>
            <w:rPr>
              <w:b/>
              <w:color w:val="000000"/>
              <w:sz w:val="32"/>
            </w:rPr>
            <w:t>EN</w:t>
          </w:r>
        </w:p>
      </w:tc>
    </w:tr>
  </w:tbl>
  <w:p w14:paraId="77048B1E" w14:textId="77777777" w:rsidR="00B82D50" w:rsidRDefault="00B82D50">
    <w:pPr>
      <w:rPr>
        <w:b/>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C851" w14:textId="77777777" w:rsidR="00B82D50" w:rsidRDefault="00B82D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9D23D" w14:textId="77777777" w:rsidR="009773A3" w:rsidRDefault="009773A3">
      <w:r>
        <w:separator/>
      </w:r>
    </w:p>
  </w:footnote>
  <w:footnote w:type="continuationSeparator" w:id="0">
    <w:p w14:paraId="5F45FDB2" w14:textId="77777777" w:rsidR="009773A3" w:rsidRDefault="00977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888F" w14:textId="77777777" w:rsidR="00B82D50" w:rsidRDefault="00B82D5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02C9" w14:textId="77777777" w:rsidR="00B82D50" w:rsidRDefault="00B82D5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396F" w14:textId="77777777" w:rsidR="00B82D50" w:rsidRDefault="00B82D5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7991" w14:textId="77777777" w:rsidR="00B82D50" w:rsidRDefault="00B82D50"/>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C6748" w14:textId="77777777" w:rsidR="00B82D50" w:rsidRDefault="00B82D5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3205" w14:textId="77777777" w:rsidR="00B82D50" w:rsidRDefault="00B82D50"/>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E859" w14:textId="77777777" w:rsidR="00B82D50" w:rsidRDefault="00B82D5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8295C" w14:textId="77777777" w:rsidR="00B82D50" w:rsidRDefault="00B82D50"/>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1376" w14:textId="77777777" w:rsidR="00B82D50" w:rsidRDefault="00B82D50"/>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12ED" w14:textId="77777777" w:rsidR="00B82D50" w:rsidRDefault="00B82D50"/>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D324" w14:textId="77777777" w:rsidR="00B82D50" w:rsidRDefault="00B82D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BB96" w14:textId="77777777" w:rsidR="00B82D50" w:rsidRDefault="00B82D50"/>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9374" w14:textId="77777777" w:rsidR="00B82D50" w:rsidRDefault="00B82D50"/>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BE1BE" w14:textId="77777777" w:rsidR="00B82D50" w:rsidRDefault="00B82D50"/>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8227" w14:textId="77777777" w:rsidR="00B82D50" w:rsidRDefault="00B82D50"/>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78039" w14:textId="77777777" w:rsidR="00B82D50" w:rsidRDefault="00B82D50"/>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EEA7" w14:textId="77777777" w:rsidR="00B82D50" w:rsidRDefault="00B82D50"/>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CC6B" w14:textId="77777777" w:rsidR="00B82D50" w:rsidRDefault="00B82D50"/>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05CB2" w14:textId="77777777" w:rsidR="00B82D50" w:rsidRDefault="00B82D50"/>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A776" w14:textId="77777777" w:rsidR="00B82D50" w:rsidRDefault="00B82D50"/>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31AB5" w14:textId="77777777" w:rsidR="00B82D50" w:rsidRDefault="00B82D50"/>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65F" w14:textId="77777777" w:rsidR="00B82D50" w:rsidRDefault="00B82D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312E" w14:textId="77777777" w:rsidR="00B82D50" w:rsidRDefault="00B82D50"/>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4BD7D" w14:textId="77777777" w:rsidR="00B82D50" w:rsidRDefault="00B82D5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3705" w14:textId="77777777" w:rsidR="00B82D50" w:rsidRDefault="00B82D5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857D" w14:textId="77777777" w:rsidR="00B82D50" w:rsidRDefault="00B82D50"/>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51E83" w14:textId="77777777" w:rsidR="00B82D50" w:rsidRDefault="00B82D50"/>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3BE8" w14:textId="77777777" w:rsidR="00B82D50" w:rsidRDefault="00B82D5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95206" w14:textId="77777777" w:rsidR="00B82D50" w:rsidRDefault="00B82D50"/>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B54E8" w14:textId="77777777" w:rsidR="00B82D50" w:rsidRDefault="00B82D5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8C6A" w14:textId="77777777" w:rsidR="00B82D50" w:rsidRDefault="00B82D5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108D5" w14:textId="77777777" w:rsidR="00B82D50" w:rsidRDefault="00B82D5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A0D0A" w14:textId="77777777" w:rsidR="00B82D50" w:rsidRDefault="00B82D5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46BE" w14:textId="77777777" w:rsidR="00B82D50" w:rsidRDefault="00B82D5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EC43" w14:textId="77777777" w:rsidR="00B82D50" w:rsidRDefault="00B82D5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13F5" w14:textId="77777777" w:rsidR="00B82D50" w:rsidRDefault="00B82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hybridMultilevel"/>
    <w:tmpl w:val="00000004"/>
    <w:lvl w:ilvl="0" w:tplc="7FD8FFE2">
      <w:start w:val="1"/>
      <w:numFmt w:val="bullet"/>
      <w:lvlText w:val=""/>
      <w:lvlJc w:val="left"/>
      <w:pPr>
        <w:ind w:left="720" w:hanging="360"/>
      </w:pPr>
      <w:rPr>
        <w:rFonts w:ascii="Symbol" w:hAnsi="Symbol"/>
      </w:rPr>
    </w:lvl>
    <w:lvl w:ilvl="1" w:tplc="06E6E5CE">
      <w:start w:val="1"/>
      <w:numFmt w:val="bullet"/>
      <w:lvlText w:val="o"/>
      <w:lvlJc w:val="left"/>
      <w:pPr>
        <w:tabs>
          <w:tab w:val="num" w:pos="1440"/>
        </w:tabs>
        <w:ind w:left="1440" w:hanging="360"/>
      </w:pPr>
      <w:rPr>
        <w:rFonts w:ascii="Courier New" w:hAnsi="Courier New"/>
      </w:rPr>
    </w:lvl>
    <w:lvl w:ilvl="2" w:tplc="CCB012FA">
      <w:start w:val="1"/>
      <w:numFmt w:val="bullet"/>
      <w:lvlText w:val=""/>
      <w:lvlJc w:val="left"/>
      <w:pPr>
        <w:tabs>
          <w:tab w:val="num" w:pos="2160"/>
        </w:tabs>
        <w:ind w:left="2160" w:hanging="360"/>
      </w:pPr>
      <w:rPr>
        <w:rFonts w:ascii="Wingdings" w:hAnsi="Wingdings"/>
      </w:rPr>
    </w:lvl>
    <w:lvl w:ilvl="3" w:tplc="775C61E8">
      <w:start w:val="1"/>
      <w:numFmt w:val="bullet"/>
      <w:lvlText w:val=""/>
      <w:lvlJc w:val="left"/>
      <w:pPr>
        <w:tabs>
          <w:tab w:val="num" w:pos="2880"/>
        </w:tabs>
        <w:ind w:left="2880" w:hanging="360"/>
      </w:pPr>
      <w:rPr>
        <w:rFonts w:ascii="Symbol" w:hAnsi="Symbol"/>
      </w:rPr>
    </w:lvl>
    <w:lvl w:ilvl="4" w:tplc="78049AAE">
      <w:start w:val="1"/>
      <w:numFmt w:val="bullet"/>
      <w:lvlText w:val="o"/>
      <w:lvlJc w:val="left"/>
      <w:pPr>
        <w:tabs>
          <w:tab w:val="num" w:pos="3600"/>
        </w:tabs>
        <w:ind w:left="3600" w:hanging="360"/>
      </w:pPr>
      <w:rPr>
        <w:rFonts w:ascii="Courier New" w:hAnsi="Courier New"/>
      </w:rPr>
    </w:lvl>
    <w:lvl w:ilvl="5" w:tplc="95B81D04">
      <w:start w:val="1"/>
      <w:numFmt w:val="bullet"/>
      <w:lvlText w:val=""/>
      <w:lvlJc w:val="left"/>
      <w:pPr>
        <w:tabs>
          <w:tab w:val="num" w:pos="4320"/>
        </w:tabs>
        <w:ind w:left="4320" w:hanging="360"/>
      </w:pPr>
      <w:rPr>
        <w:rFonts w:ascii="Wingdings" w:hAnsi="Wingdings"/>
      </w:rPr>
    </w:lvl>
    <w:lvl w:ilvl="6" w:tplc="9B628392">
      <w:start w:val="1"/>
      <w:numFmt w:val="bullet"/>
      <w:lvlText w:val=""/>
      <w:lvlJc w:val="left"/>
      <w:pPr>
        <w:tabs>
          <w:tab w:val="num" w:pos="5040"/>
        </w:tabs>
        <w:ind w:left="5040" w:hanging="360"/>
      </w:pPr>
      <w:rPr>
        <w:rFonts w:ascii="Symbol" w:hAnsi="Symbol"/>
      </w:rPr>
    </w:lvl>
    <w:lvl w:ilvl="7" w:tplc="FEAA5FA0">
      <w:start w:val="1"/>
      <w:numFmt w:val="bullet"/>
      <w:lvlText w:val="o"/>
      <w:lvlJc w:val="left"/>
      <w:pPr>
        <w:tabs>
          <w:tab w:val="num" w:pos="5760"/>
        </w:tabs>
        <w:ind w:left="5760" w:hanging="360"/>
      </w:pPr>
      <w:rPr>
        <w:rFonts w:ascii="Courier New" w:hAnsi="Courier New"/>
      </w:rPr>
    </w:lvl>
    <w:lvl w:ilvl="8" w:tplc="DB7CC812">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hybridMultilevel"/>
    <w:tmpl w:val="00000006"/>
    <w:lvl w:ilvl="0" w:tplc="E8187358">
      <w:start w:val="1"/>
      <w:numFmt w:val="bullet"/>
      <w:lvlText w:val=""/>
      <w:lvlJc w:val="left"/>
      <w:pPr>
        <w:ind w:left="720" w:hanging="360"/>
      </w:pPr>
      <w:rPr>
        <w:rFonts w:ascii="Symbol" w:hAnsi="Symbol"/>
      </w:rPr>
    </w:lvl>
    <w:lvl w:ilvl="1" w:tplc="7A6620A8">
      <w:start w:val="1"/>
      <w:numFmt w:val="bullet"/>
      <w:lvlText w:val="o"/>
      <w:lvlJc w:val="left"/>
      <w:pPr>
        <w:tabs>
          <w:tab w:val="num" w:pos="1440"/>
        </w:tabs>
        <w:ind w:left="1440" w:hanging="360"/>
      </w:pPr>
      <w:rPr>
        <w:rFonts w:ascii="Courier New" w:hAnsi="Courier New"/>
      </w:rPr>
    </w:lvl>
    <w:lvl w:ilvl="2" w:tplc="49EC5F30">
      <w:start w:val="1"/>
      <w:numFmt w:val="bullet"/>
      <w:lvlText w:val=""/>
      <w:lvlJc w:val="left"/>
      <w:pPr>
        <w:tabs>
          <w:tab w:val="num" w:pos="2160"/>
        </w:tabs>
        <w:ind w:left="2160" w:hanging="360"/>
      </w:pPr>
      <w:rPr>
        <w:rFonts w:ascii="Wingdings" w:hAnsi="Wingdings"/>
      </w:rPr>
    </w:lvl>
    <w:lvl w:ilvl="3" w:tplc="13B68790">
      <w:start w:val="1"/>
      <w:numFmt w:val="bullet"/>
      <w:lvlText w:val=""/>
      <w:lvlJc w:val="left"/>
      <w:pPr>
        <w:tabs>
          <w:tab w:val="num" w:pos="2880"/>
        </w:tabs>
        <w:ind w:left="2880" w:hanging="360"/>
      </w:pPr>
      <w:rPr>
        <w:rFonts w:ascii="Symbol" w:hAnsi="Symbol"/>
      </w:rPr>
    </w:lvl>
    <w:lvl w:ilvl="4" w:tplc="39225CC6">
      <w:start w:val="1"/>
      <w:numFmt w:val="bullet"/>
      <w:lvlText w:val="o"/>
      <w:lvlJc w:val="left"/>
      <w:pPr>
        <w:tabs>
          <w:tab w:val="num" w:pos="3600"/>
        </w:tabs>
        <w:ind w:left="3600" w:hanging="360"/>
      </w:pPr>
      <w:rPr>
        <w:rFonts w:ascii="Courier New" w:hAnsi="Courier New"/>
      </w:rPr>
    </w:lvl>
    <w:lvl w:ilvl="5" w:tplc="ADDEA292">
      <w:start w:val="1"/>
      <w:numFmt w:val="bullet"/>
      <w:lvlText w:val=""/>
      <w:lvlJc w:val="left"/>
      <w:pPr>
        <w:tabs>
          <w:tab w:val="num" w:pos="4320"/>
        </w:tabs>
        <w:ind w:left="4320" w:hanging="360"/>
      </w:pPr>
      <w:rPr>
        <w:rFonts w:ascii="Wingdings" w:hAnsi="Wingdings"/>
      </w:rPr>
    </w:lvl>
    <w:lvl w:ilvl="6" w:tplc="4216BD50">
      <w:start w:val="1"/>
      <w:numFmt w:val="bullet"/>
      <w:lvlText w:val=""/>
      <w:lvlJc w:val="left"/>
      <w:pPr>
        <w:tabs>
          <w:tab w:val="num" w:pos="5040"/>
        </w:tabs>
        <w:ind w:left="5040" w:hanging="360"/>
      </w:pPr>
      <w:rPr>
        <w:rFonts w:ascii="Symbol" w:hAnsi="Symbol"/>
      </w:rPr>
    </w:lvl>
    <w:lvl w:ilvl="7" w:tplc="1E0060FC">
      <w:start w:val="1"/>
      <w:numFmt w:val="bullet"/>
      <w:lvlText w:val="o"/>
      <w:lvlJc w:val="left"/>
      <w:pPr>
        <w:tabs>
          <w:tab w:val="num" w:pos="5760"/>
        </w:tabs>
        <w:ind w:left="5760" w:hanging="360"/>
      </w:pPr>
      <w:rPr>
        <w:rFonts w:ascii="Courier New" w:hAnsi="Courier New"/>
      </w:rPr>
    </w:lvl>
    <w:lvl w:ilvl="8" w:tplc="07BC1B7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3D6AD48">
      <w:start w:val="1"/>
      <w:numFmt w:val="bullet"/>
      <w:lvlText w:val=""/>
      <w:lvlJc w:val="left"/>
      <w:pPr>
        <w:ind w:left="720" w:hanging="360"/>
      </w:pPr>
      <w:rPr>
        <w:rFonts w:ascii="Symbol" w:hAnsi="Symbol"/>
      </w:rPr>
    </w:lvl>
    <w:lvl w:ilvl="1" w:tplc="470AA23E">
      <w:start w:val="1"/>
      <w:numFmt w:val="bullet"/>
      <w:lvlText w:val="o"/>
      <w:lvlJc w:val="left"/>
      <w:pPr>
        <w:tabs>
          <w:tab w:val="num" w:pos="1440"/>
        </w:tabs>
        <w:ind w:left="1440" w:hanging="360"/>
      </w:pPr>
      <w:rPr>
        <w:rFonts w:ascii="Courier New" w:hAnsi="Courier New"/>
      </w:rPr>
    </w:lvl>
    <w:lvl w:ilvl="2" w:tplc="C7C68C0C">
      <w:start w:val="1"/>
      <w:numFmt w:val="bullet"/>
      <w:lvlText w:val=""/>
      <w:lvlJc w:val="left"/>
      <w:pPr>
        <w:tabs>
          <w:tab w:val="num" w:pos="2160"/>
        </w:tabs>
        <w:ind w:left="2160" w:hanging="360"/>
      </w:pPr>
      <w:rPr>
        <w:rFonts w:ascii="Wingdings" w:hAnsi="Wingdings"/>
      </w:rPr>
    </w:lvl>
    <w:lvl w:ilvl="3" w:tplc="0C185D2A">
      <w:start w:val="1"/>
      <w:numFmt w:val="bullet"/>
      <w:lvlText w:val=""/>
      <w:lvlJc w:val="left"/>
      <w:pPr>
        <w:tabs>
          <w:tab w:val="num" w:pos="2880"/>
        </w:tabs>
        <w:ind w:left="2880" w:hanging="360"/>
      </w:pPr>
      <w:rPr>
        <w:rFonts w:ascii="Symbol" w:hAnsi="Symbol"/>
      </w:rPr>
    </w:lvl>
    <w:lvl w:ilvl="4" w:tplc="7F6AAD2E">
      <w:start w:val="1"/>
      <w:numFmt w:val="bullet"/>
      <w:lvlText w:val="o"/>
      <w:lvlJc w:val="left"/>
      <w:pPr>
        <w:tabs>
          <w:tab w:val="num" w:pos="3600"/>
        </w:tabs>
        <w:ind w:left="3600" w:hanging="360"/>
      </w:pPr>
      <w:rPr>
        <w:rFonts w:ascii="Courier New" w:hAnsi="Courier New"/>
      </w:rPr>
    </w:lvl>
    <w:lvl w:ilvl="5" w:tplc="595ED3D4">
      <w:start w:val="1"/>
      <w:numFmt w:val="bullet"/>
      <w:lvlText w:val=""/>
      <w:lvlJc w:val="left"/>
      <w:pPr>
        <w:tabs>
          <w:tab w:val="num" w:pos="4320"/>
        </w:tabs>
        <w:ind w:left="4320" w:hanging="360"/>
      </w:pPr>
      <w:rPr>
        <w:rFonts w:ascii="Wingdings" w:hAnsi="Wingdings"/>
      </w:rPr>
    </w:lvl>
    <w:lvl w:ilvl="6" w:tplc="161A55C4">
      <w:start w:val="1"/>
      <w:numFmt w:val="bullet"/>
      <w:lvlText w:val=""/>
      <w:lvlJc w:val="left"/>
      <w:pPr>
        <w:tabs>
          <w:tab w:val="num" w:pos="5040"/>
        </w:tabs>
        <w:ind w:left="5040" w:hanging="360"/>
      </w:pPr>
      <w:rPr>
        <w:rFonts w:ascii="Symbol" w:hAnsi="Symbol"/>
      </w:rPr>
    </w:lvl>
    <w:lvl w:ilvl="7" w:tplc="CD1E92BA">
      <w:start w:val="1"/>
      <w:numFmt w:val="bullet"/>
      <w:lvlText w:val="o"/>
      <w:lvlJc w:val="left"/>
      <w:pPr>
        <w:tabs>
          <w:tab w:val="num" w:pos="5760"/>
        </w:tabs>
        <w:ind w:left="5760" w:hanging="360"/>
      </w:pPr>
      <w:rPr>
        <w:rFonts w:ascii="Courier New" w:hAnsi="Courier New"/>
      </w:rPr>
    </w:lvl>
    <w:lvl w:ilvl="8" w:tplc="5FE0AD1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D794F41E">
      <w:start w:val="1"/>
      <w:numFmt w:val="bullet"/>
      <w:lvlText w:val=""/>
      <w:lvlJc w:val="left"/>
      <w:pPr>
        <w:ind w:left="720" w:hanging="360"/>
      </w:pPr>
      <w:rPr>
        <w:rFonts w:ascii="Symbol" w:hAnsi="Symbol"/>
      </w:rPr>
    </w:lvl>
    <w:lvl w:ilvl="1" w:tplc="B576FFBA">
      <w:start w:val="1"/>
      <w:numFmt w:val="bullet"/>
      <w:lvlText w:val="o"/>
      <w:lvlJc w:val="left"/>
      <w:pPr>
        <w:tabs>
          <w:tab w:val="num" w:pos="1440"/>
        </w:tabs>
        <w:ind w:left="1440" w:hanging="360"/>
      </w:pPr>
      <w:rPr>
        <w:rFonts w:ascii="Courier New" w:hAnsi="Courier New"/>
      </w:rPr>
    </w:lvl>
    <w:lvl w:ilvl="2" w:tplc="4D74A8B2">
      <w:start w:val="1"/>
      <w:numFmt w:val="bullet"/>
      <w:lvlText w:val=""/>
      <w:lvlJc w:val="left"/>
      <w:pPr>
        <w:tabs>
          <w:tab w:val="num" w:pos="2160"/>
        </w:tabs>
        <w:ind w:left="2160" w:hanging="360"/>
      </w:pPr>
      <w:rPr>
        <w:rFonts w:ascii="Wingdings" w:hAnsi="Wingdings"/>
      </w:rPr>
    </w:lvl>
    <w:lvl w:ilvl="3" w:tplc="2C7009F2">
      <w:start w:val="1"/>
      <w:numFmt w:val="bullet"/>
      <w:lvlText w:val=""/>
      <w:lvlJc w:val="left"/>
      <w:pPr>
        <w:tabs>
          <w:tab w:val="num" w:pos="2880"/>
        </w:tabs>
        <w:ind w:left="2880" w:hanging="360"/>
      </w:pPr>
      <w:rPr>
        <w:rFonts w:ascii="Symbol" w:hAnsi="Symbol"/>
      </w:rPr>
    </w:lvl>
    <w:lvl w:ilvl="4" w:tplc="F3325BC8">
      <w:start w:val="1"/>
      <w:numFmt w:val="bullet"/>
      <w:lvlText w:val="o"/>
      <w:lvlJc w:val="left"/>
      <w:pPr>
        <w:tabs>
          <w:tab w:val="num" w:pos="3600"/>
        </w:tabs>
        <w:ind w:left="3600" w:hanging="360"/>
      </w:pPr>
      <w:rPr>
        <w:rFonts w:ascii="Courier New" w:hAnsi="Courier New"/>
      </w:rPr>
    </w:lvl>
    <w:lvl w:ilvl="5" w:tplc="5BFA07A8">
      <w:start w:val="1"/>
      <w:numFmt w:val="bullet"/>
      <w:lvlText w:val=""/>
      <w:lvlJc w:val="left"/>
      <w:pPr>
        <w:tabs>
          <w:tab w:val="num" w:pos="4320"/>
        </w:tabs>
        <w:ind w:left="4320" w:hanging="360"/>
      </w:pPr>
      <w:rPr>
        <w:rFonts w:ascii="Wingdings" w:hAnsi="Wingdings"/>
      </w:rPr>
    </w:lvl>
    <w:lvl w:ilvl="6" w:tplc="0206FC00">
      <w:start w:val="1"/>
      <w:numFmt w:val="bullet"/>
      <w:lvlText w:val=""/>
      <w:lvlJc w:val="left"/>
      <w:pPr>
        <w:tabs>
          <w:tab w:val="num" w:pos="5040"/>
        </w:tabs>
        <w:ind w:left="5040" w:hanging="360"/>
      </w:pPr>
      <w:rPr>
        <w:rFonts w:ascii="Symbol" w:hAnsi="Symbol"/>
      </w:rPr>
    </w:lvl>
    <w:lvl w:ilvl="7" w:tplc="3F2A9004">
      <w:start w:val="1"/>
      <w:numFmt w:val="bullet"/>
      <w:lvlText w:val="o"/>
      <w:lvlJc w:val="left"/>
      <w:pPr>
        <w:tabs>
          <w:tab w:val="num" w:pos="5760"/>
        </w:tabs>
        <w:ind w:left="5760" w:hanging="360"/>
      </w:pPr>
      <w:rPr>
        <w:rFonts w:ascii="Courier New" w:hAnsi="Courier New"/>
      </w:rPr>
    </w:lvl>
    <w:lvl w:ilvl="8" w:tplc="67E68206">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192C0498">
      <w:start w:val="1"/>
      <w:numFmt w:val="bullet"/>
      <w:lvlText w:val=""/>
      <w:lvlJc w:val="left"/>
      <w:pPr>
        <w:ind w:left="720" w:hanging="360"/>
      </w:pPr>
      <w:rPr>
        <w:rFonts w:ascii="Symbol" w:hAnsi="Symbol"/>
      </w:rPr>
    </w:lvl>
    <w:lvl w:ilvl="1" w:tplc="868E590A">
      <w:start w:val="1"/>
      <w:numFmt w:val="bullet"/>
      <w:lvlText w:val="o"/>
      <w:lvlJc w:val="left"/>
      <w:pPr>
        <w:tabs>
          <w:tab w:val="num" w:pos="1440"/>
        </w:tabs>
        <w:ind w:left="1440" w:hanging="360"/>
      </w:pPr>
      <w:rPr>
        <w:rFonts w:ascii="Courier New" w:hAnsi="Courier New"/>
      </w:rPr>
    </w:lvl>
    <w:lvl w:ilvl="2" w:tplc="67BC2A0E">
      <w:start w:val="1"/>
      <w:numFmt w:val="bullet"/>
      <w:lvlText w:val=""/>
      <w:lvlJc w:val="left"/>
      <w:pPr>
        <w:tabs>
          <w:tab w:val="num" w:pos="2160"/>
        </w:tabs>
        <w:ind w:left="2160" w:hanging="360"/>
      </w:pPr>
      <w:rPr>
        <w:rFonts w:ascii="Wingdings" w:hAnsi="Wingdings"/>
      </w:rPr>
    </w:lvl>
    <w:lvl w:ilvl="3" w:tplc="B9DCC454">
      <w:start w:val="1"/>
      <w:numFmt w:val="bullet"/>
      <w:lvlText w:val=""/>
      <w:lvlJc w:val="left"/>
      <w:pPr>
        <w:tabs>
          <w:tab w:val="num" w:pos="2880"/>
        </w:tabs>
        <w:ind w:left="2880" w:hanging="360"/>
      </w:pPr>
      <w:rPr>
        <w:rFonts w:ascii="Symbol" w:hAnsi="Symbol"/>
      </w:rPr>
    </w:lvl>
    <w:lvl w:ilvl="4" w:tplc="45121A58">
      <w:start w:val="1"/>
      <w:numFmt w:val="bullet"/>
      <w:lvlText w:val="o"/>
      <w:lvlJc w:val="left"/>
      <w:pPr>
        <w:tabs>
          <w:tab w:val="num" w:pos="3600"/>
        </w:tabs>
        <w:ind w:left="3600" w:hanging="360"/>
      </w:pPr>
      <w:rPr>
        <w:rFonts w:ascii="Courier New" w:hAnsi="Courier New"/>
      </w:rPr>
    </w:lvl>
    <w:lvl w:ilvl="5" w:tplc="FB1025C4">
      <w:start w:val="1"/>
      <w:numFmt w:val="bullet"/>
      <w:lvlText w:val=""/>
      <w:lvlJc w:val="left"/>
      <w:pPr>
        <w:tabs>
          <w:tab w:val="num" w:pos="4320"/>
        </w:tabs>
        <w:ind w:left="4320" w:hanging="360"/>
      </w:pPr>
      <w:rPr>
        <w:rFonts w:ascii="Wingdings" w:hAnsi="Wingdings"/>
      </w:rPr>
    </w:lvl>
    <w:lvl w:ilvl="6" w:tplc="20164CF8">
      <w:start w:val="1"/>
      <w:numFmt w:val="bullet"/>
      <w:lvlText w:val=""/>
      <w:lvlJc w:val="left"/>
      <w:pPr>
        <w:tabs>
          <w:tab w:val="num" w:pos="5040"/>
        </w:tabs>
        <w:ind w:left="5040" w:hanging="360"/>
      </w:pPr>
      <w:rPr>
        <w:rFonts w:ascii="Symbol" w:hAnsi="Symbol"/>
      </w:rPr>
    </w:lvl>
    <w:lvl w:ilvl="7" w:tplc="3E76902A">
      <w:start w:val="1"/>
      <w:numFmt w:val="bullet"/>
      <w:lvlText w:val="o"/>
      <w:lvlJc w:val="left"/>
      <w:pPr>
        <w:tabs>
          <w:tab w:val="num" w:pos="5760"/>
        </w:tabs>
        <w:ind w:left="5760" w:hanging="360"/>
      </w:pPr>
      <w:rPr>
        <w:rFonts w:ascii="Courier New" w:hAnsi="Courier New"/>
      </w:rPr>
    </w:lvl>
    <w:lvl w:ilvl="8" w:tplc="01FC77A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42DEA918">
      <w:start w:val="1"/>
      <w:numFmt w:val="bullet"/>
      <w:lvlText w:val=""/>
      <w:lvlJc w:val="left"/>
      <w:pPr>
        <w:ind w:left="720" w:hanging="360"/>
      </w:pPr>
      <w:rPr>
        <w:rFonts w:ascii="Symbol" w:hAnsi="Symbol"/>
      </w:rPr>
    </w:lvl>
    <w:lvl w:ilvl="1" w:tplc="ADC86D74">
      <w:start w:val="1"/>
      <w:numFmt w:val="bullet"/>
      <w:lvlText w:val="o"/>
      <w:lvlJc w:val="left"/>
      <w:pPr>
        <w:tabs>
          <w:tab w:val="num" w:pos="1440"/>
        </w:tabs>
        <w:ind w:left="1440" w:hanging="360"/>
      </w:pPr>
      <w:rPr>
        <w:rFonts w:ascii="Courier New" w:hAnsi="Courier New"/>
      </w:rPr>
    </w:lvl>
    <w:lvl w:ilvl="2" w:tplc="5C603D7A">
      <w:start w:val="1"/>
      <w:numFmt w:val="bullet"/>
      <w:lvlText w:val=""/>
      <w:lvlJc w:val="left"/>
      <w:pPr>
        <w:tabs>
          <w:tab w:val="num" w:pos="2160"/>
        </w:tabs>
        <w:ind w:left="2160" w:hanging="360"/>
      </w:pPr>
      <w:rPr>
        <w:rFonts w:ascii="Wingdings" w:hAnsi="Wingdings"/>
      </w:rPr>
    </w:lvl>
    <w:lvl w:ilvl="3" w:tplc="D71CE476">
      <w:start w:val="1"/>
      <w:numFmt w:val="bullet"/>
      <w:lvlText w:val=""/>
      <w:lvlJc w:val="left"/>
      <w:pPr>
        <w:tabs>
          <w:tab w:val="num" w:pos="2880"/>
        </w:tabs>
        <w:ind w:left="2880" w:hanging="360"/>
      </w:pPr>
      <w:rPr>
        <w:rFonts w:ascii="Symbol" w:hAnsi="Symbol"/>
      </w:rPr>
    </w:lvl>
    <w:lvl w:ilvl="4" w:tplc="151C588C">
      <w:start w:val="1"/>
      <w:numFmt w:val="bullet"/>
      <w:lvlText w:val="o"/>
      <w:lvlJc w:val="left"/>
      <w:pPr>
        <w:tabs>
          <w:tab w:val="num" w:pos="3600"/>
        </w:tabs>
        <w:ind w:left="3600" w:hanging="360"/>
      </w:pPr>
      <w:rPr>
        <w:rFonts w:ascii="Courier New" w:hAnsi="Courier New"/>
      </w:rPr>
    </w:lvl>
    <w:lvl w:ilvl="5" w:tplc="4ACCDE28">
      <w:start w:val="1"/>
      <w:numFmt w:val="bullet"/>
      <w:lvlText w:val=""/>
      <w:lvlJc w:val="left"/>
      <w:pPr>
        <w:tabs>
          <w:tab w:val="num" w:pos="4320"/>
        </w:tabs>
        <w:ind w:left="4320" w:hanging="360"/>
      </w:pPr>
      <w:rPr>
        <w:rFonts w:ascii="Wingdings" w:hAnsi="Wingdings"/>
      </w:rPr>
    </w:lvl>
    <w:lvl w:ilvl="6" w:tplc="3D1A6B46">
      <w:start w:val="1"/>
      <w:numFmt w:val="bullet"/>
      <w:lvlText w:val=""/>
      <w:lvlJc w:val="left"/>
      <w:pPr>
        <w:tabs>
          <w:tab w:val="num" w:pos="5040"/>
        </w:tabs>
        <w:ind w:left="5040" w:hanging="360"/>
      </w:pPr>
      <w:rPr>
        <w:rFonts w:ascii="Symbol" w:hAnsi="Symbol"/>
      </w:rPr>
    </w:lvl>
    <w:lvl w:ilvl="7" w:tplc="EC681472">
      <w:start w:val="1"/>
      <w:numFmt w:val="bullet"/>
      <w:lvlText w:val="o"/>
      <w:lvlJc w:val="left"/>
      <w:pPr>
        <w:tabs>
          <w:tab w:val="num" w:pos="5760"/>
        </w:tabs>
        <w:ind w:left="5760" w:hanging="360"/>
      </w:pPr>
      <w:rPr>
        <w:rFonts w:ascii="Courier New" w:hAnsi="Courier New"/>
      </w:rPr>
    </w:lvl>
    <w:lvl w:ilvl="8" w:tplc="A0D45D8C">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290632D0">
      <w:start w:val="1"/>
      <w:numFmt w:val="bullet"/>
      <w:lvlText w:val=""/>
      <w:lvlJc w:val="left"/>
      <w:pPr>
        <w:ind w:left="720" w:hanging="360"/>
      </w:pPr>
      <w:rPr>
        <w:rFonts w:ascii="Symbol" w:hAnsi="Symbol"/>
      </w:rPr>
    </w:lvl>
    <w:lvl w:ilvl="1" w:tplc="A88C7E36">
      <w:start w:val="1"/>
      <w:numFmt w:val="bullet"/>
      <w:lvlText w:val="o"/>
      <w:lvlJc w:val="left"/>
      <w:pPr>
        <w:tabs>
          <w:tab w:val="num" w:pos="1440"/>
        </w:tabs>
        <w:ind w:left="1440" w:hanging="360"/>
      </w:pPr>
      <w:rPr>
        <w:rFonts w:ascii="Courier New" w:hAnsi="Courier New"/>
      </w:rPr>
    </w:lvl>
    <w:lvl w:ilvl="2" w:tplc="810E99F2">
      <w:start w:val="1"/>
      <w:numFmt w:val="bullet"/>
      <w:lvlText w:val=""/>
      <w:lvlJc w:val="left"/>
      <w:pPr>
        <w:tabs>
          <w:tab w:val="num" w:pos="2160"/>
        </w:tabs>
        <w:ind w:left="2160" w:hanging="360"/>
      </w:pPr>
      <w:rPr>
        <w:rFonts w:ascii="Wingdings" w:hAnsi="Wingdings"/>
      </w:rPr>
    </w:lvl>
    <w:lvl w:ilvl="3" w:tplc="58FE7358">
      <w:start w:val="1"/>
      <w:numFmt w:val="bullet"/>
      <w:lvlText w:val=""/>
      <w:lvlJc w:val="left"/>
      <w:pPr>
        <w:tabs>
          <w:tab w:val="num" w:pos="2880"/>
        </w:tabs>
        <w:ind w:left="2880" w:hanging="360"/>
      </w:pPr>
      <w:rPr>
        <w:rFonts w:ascii="Symbol" w:hAnsi="Symbol"/>
      </w:rPr>
    </w:lvl>
    <w:lvl w:ilvl="4" w:tplc="6E040AE0">
      <w:start w:val="1"/>
      <w:numFmt w:val="bullet"/>
      <w:lvlText w:val="o"/>
      <w:lvlJc w:val="left"/>
      <w:pPr>
        <w:tabs>
          <w:tab w:val="num" w:pos="3600"/>
        </w:tabs>
        <w:ind w:left="3600" w:hanging="360"/>
      </w:pPr>
      <w:rPr>
        <w:rFonts w:ascii="Courier New" w:hAnsi="Courier New"/>
      </w:rPr>
    </w:lvl>
    <w:lvl w:ilvl="5" w:tplc="8E409F1E">
      <w:start w:val="1"/>
      <w:numFmt w:val="bullet"/>
      <w:lvlText w:val=""/>
      <w:lvlJc w:val="left"/>
      <w:pPr>
        <w:tabs>
          <w:tab w:val="num" w:pos="4320"/>
        </w:tabs>
        <w:ind w:left="4320" w:hanging="360"/>
      </w:pPr>
      <w:rPr>
        <w:rFonts w:ascii="Wingdings" w:hAnsi="Wingdings"/>
      </w:rPr>
    </w:lvl>
    <w:lvl w:ilvl="6" w:tplc="E21E5DCC">
      <w:start w:val="1"/>
      <w:numFmt w:val="bullet"/>
      <w:lvlText w:val=""/>
      <w:lvlJc w:val="left"/>
      <w:pPr>
        <w:tabs>
          <w:tab w:val="num" w:pos="5040"/>
        </w:tabs>
        <w:ind w:left="5040" w:hanging="360"/>
      </w:pPr>
      <w:rPr>
        <w:rFonts w:ascii="Symbol" w:hAnsi="Symbol"/>
      </w:rPr>
    </w:lvl>
    <w:lvl w:ilvl="7" w:tplc="F752C6CA">
      <w:start w:val="1"/>
      <w:numFmt w:val="bullet"/>
      <w:lvlText w:val="o"/>
      <w:lvlJc w:val="left"/>
      <w:pPr>
        <w:tabs>
          <w:tab w:val="num" w:pos="5760"/>
        </w:tabs>
        <w:ind w:left="5760" w:hanging="360"/>
      </w:pPr>
      <w:rPr>
        <w:rFonts w:ascii="Courier New" w:hAnsi="Courier New"/>
      </w:rPr>
    </w:lvl>
    <w:lvl w:ilvl="8" w:tplc="D940F4DA">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55AC416E">
      <w:start w:val="1"/>
      <w:numFmt w:val="bullet"/>
      <w:lvlText w:val=""/>
      <w:lvlJc w:val="left"/>
      <w:pPr>
        <w:ind w:left="720" w:hanging="360"/>
      </w:pPr>
      <w:rPr>
        <w:rFonts w:ascii="Symbol" w:hAnsi="Symbol"/>
      </w:rPr>
    </w:lvl>
    <w:lvl w:ilvl="1" w:tplc="9C782C70">
      <w:start w:val="1"/>
      <w:numFmt w:val="bullet"/>
      <w:lvlText w:val="o"/>
      <w:lvlJc w:val="left"/>
      <w:pPr>
        <w:tabs>
          <w:tab w:val="num" w:pos="1440"/>
        </w:tabs>
        <w:ind w:left="1440" w:hanging="360"/>
      </w:pPr>
      <w:rPr>
        <w:rFonts w:ascii="Courier New" w:hAnsi="Courier New"/>
      </w:rPr>
    </w:lvl>
    <w:lvl w:ilvl="2" w:tplc="0898EE8E">
      <w:start w:val="1"/>
      <w:numFmt w:val="bullet"/>
      <w:lvlText w:val=""/>
      <w:lvlJc w:val="left"/>
      <w:pPr>
        <w:tabs>
          <w:tab w:val="num" w:pos="2160"/>
        </w:tabs>
        <w:ind w:left="2160" w:hanging="360"/>
      </w:pPr>
      <w:rPr>
        <w:rFonts w:ascii="Wingdings" w:hAnsi="Wingdings"/>
      </w:rPr>
    </w:lvl>
    <w:lvl w:ilvl="3" w:tplc="7F684C58">
      <w:start w:val="1"/>
      <w:numFmt w:val="bullet"/>
      <w:lvlText w:val=""/>
      <w:lvlJc w:val="left"/>
      <w:pPr>
        <w:tabs>
          <w:tab w:val="num" w:pos="2880"/>
        </w:tabs>
        <w:ind w:left="2880" w:hanging="360"/>
      </w:pPr>
      <w:rPr>
        <w:rFonts w:ascii="Symbol" w:hAnsi="Symbol"/>
      </w:rPr>
    </w:lvl>
    <w:lvl w:ilvl="4" w:tplc="403EF120">
      <w:start w:val="1"/>
      <w:numFmt w:val="bullet"/>
      <w:lvlText w:val="o"/>
      <w:lvlJc w:val="left"/>
      <w:pPr>
        <w:tabs>
          <w:tab w:val="num" w:pos="3600"/>
        </w:tabs>
        <w:ind w:left="3600" w:hanging="360"/>
      </w:pPr>
      <w:rPr>
        <w:rFonts w:ascii="Courier New" w:hAnsi="Courier New"/>
      </w:rPr>
    </w:lvl>
    <w:lvl w:ilvl="5" w:tplc="E8F00390">
      <w:start w:val="1"/>
      <w:numFmt w:val="bullet"/>
      <w:lvlText w:val=""/>
      <w:lvlJc w:val="left"/>
      <w:pPr>
        <w:tabs>
          <w:tab w:val="num" w:pos="4320"/>
        </w:tabs>
        <w:ind w:left="4320" w:hanging="360"/>
      </w:pPr>
      <w:rPr>
        <w:rFonts w:ascii="Wingdings" w:hAnsi="Wingdings"/>
      </w:rPr>
    </w:lvl>
    <w:lvl w:ilvl="6" w:tplc="F23EC19A">
      <w:start w:val="1"/>
      <w:numFmt w:val="bullet"/>
      <w:lvlText w:val=""/>
      <w:lvlJc w:val="left"/>
      <w:pPr>
        <w:tabs>
          <w:tab w:val="num" w:pos="5040"/>
        </w:tabs>
        <w:ind w:left="5040" w:hanging="360"/>
      </w:pPr>
      <w:rPr>
        <w:rFonts w:ascii="Symbol" w:hAnsi="Symbol"/>
      </w:rPr>
    </w:lvl>
    <w:lvl w:ilvl="7" w:tplc="CF8EFB30">
      <w:start w:val="1"/>
      <w:numFmt w:val="bullet"/>
      <w:lvlText w:val="o"/>
      <w:lvlJc w:val="left"/>
      <w:pPr>
        <w:tabs>
          <w:tab w:val="num" w:pos="5760"/>
        </w:tabs>
        <w:ind w:left="5760" w:hanging="360"/>
      </w:pPr>
      <w:rPr>
        <w:rFonts w:ascii="Courier New" w:hAnsi="Courier New"/>
      </w:rPr>
    </w:lvl>
    <w:lvl w:ilvl="8" w:tplc="E6E68F2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620278B8">
      <w:start w:val="1"/>
      <w:numFmt w:val="bullet"/>
      <w:lvlText w:val=""/>
      <w:lvlJc w:val="left"/>
      <w:pPr>
        <w:ind w:left="720" w:hanging="360"/>
      </w:pPr>
      <w:rPr>
        <w:rFonts w:ascii="Symbol" w:hAnsi="Symbol"/>
      </w:rPr>
    </w:lvl>
    <w:lvl w:ilvl="1" w:tplc="C58E4D6A">
      <w:start w:val="1"/>
      <w:numFmt w:val="bullet"/>
      <w:lvlText w:val="o"/>
      <w:lvlJc w:val="left"/>
      <w:pPr>
        <w:tabs>
          <w:tab w:val="num" w:pos="1440"/>
        </w:tabs>
        <w:ind w:left="1440" w:hanging="360"/>
      </w:pPr>
      <w:rPr>
        <w:rFonts w:ascii="Courier New" w:hAnsi="Courier New"/>
      </w:rPr>
    </w:lvl>
    <w:lvl w:ilvl="2" w:tplc="3E6AE884">
      <w:start w:val="1"/>
      <w:numFmt w:val="bullet"/>
      <w:lvlText w:val=""/>
      <w:lvlJc w:val="left"/>
      <w:pPr>
        <w:tabs>
          <w:tab w:val="num" w:pos="2160"/>
        </w:tabs>
        <w:ind w:left="2160" w:hanging="360"/>
      </w:pPr>
      <w:rPr>
        <w:rFonts w:ascii="Wingdings" w:hAnsi="Wingdings"/>
      </w:rPr>
    </w:lvl>
    <w:lvl w:ilvl="3" w:tplc="D548DC02">
      <w:start w:val="1"/>
      <w:numFmt w:val="bullet"/>
      <w:lvlText w:val=""/>
      <w:lvlJc w:val="left"/>
      <w:pPr>
        <w:tabs>
          <w:tab w:val="num" w:pos="2880"/>
        </w:tabs>
        <w:ind w:left="2880" w:hanging="360"/>
      </w:pPr>
      <w:rPr>
        <w:rFonts w:ascii="Symbol" w:hAnsi="Symbol"/>
      </w:rPr>
    </w:lvl>
    <w:lvl w:ilvl="4" w:tplc="DC80A1B6">
      <w:start w:val="1"/>
      <w:numFmt w:val="bullet"/>
      <w:lvlText w:val="o"/>
      <w:lvlJc w:val="left"/>
      <w:pPr>
        <w:tabs>
          <w:tab w:val="num" w:pos="3600"/>
        </w:tabs>
        <w:ind w:left="3600" w:hanging="360"/>
      </w:pPr>
      <w:rPr>
        <w:rFonts w:ascii="Courier New" w:hAnsi="Courier New"/>
      </w:rPr>
    </w:lvl>
    <w:lvl w:ilvl="5" w:tplc="2A64ABF0">
      <w:start w:val="1"/>
      <w:numFmt w:val="bullet"/>
      <w:lvlText w:val=""/>
      <w:lvlJc w:val="left"/>
      <w:pPr>
        <w:tabs>
          <w:tab w:val="num" w:pos="4320"/>
        </w:tabs>
        <w:ind w:left="4320" w:hanging="360"/>
      </w:pPr>
      <w:rPr>
        <w:rFonts w:ascii="Wingdings" w:hAnsi="Wingdings"/>
      </w:rPr>
    </w:lvl>
    <w:lvl w:ilvl="6" w:tplc="9522DB08">
      <w:start w:val="1"/>
      <w:numFmt w:val="bullet"/>
      <w:lvlText w:val=""/>
      <w:lvlJc w:val="left"/>
      <w:pPr>
        <w:tabs>
          <w:tab w:val="num" w:pos="5040"/>
        </w:tabs>
        <w:ind w:left="5040" w:hanging="360"/>
      </w:pPr>
      <w:rPr>
        <w:rFonts w:ascii="Symbol" w:hAnsi="Symbol"/>
      </w:rPr>
    </w:lvl>
    <w:lvl w:ilvl="7" w:tplc="7F36BCBA">
      <w:start w:val="1"/>
      <w:numFmt w:val="bullet"/>
      <w:lvlText w:val="o"/>
      <w:lvlJc w:val="left"/>
      <w:pPr>
        <w:tabs>
          <w:tab w:val="num" w:pos="5760"/>
        </w:tabs>
        <w:ind w:left="5760" w:hanging="360"/>
      </w:pPr>
      <w:rPr>
        <w:rFonts w:ascii="Courier New" w:hAnsi="Courier New"/>
      </w:rPr>
    </w:lvl>
    <w:lvl w:ilvl="8" w:tplc="C792B77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55C4A9BE">
      <w:start w:val="1"/>
      <w:numFmt w:val="bullet"/>
      <w:lvlText w:val=""/>
      <w:lvlJc w:val="left"/>
      <w:pPr>
        <w:ind w:left="720" w:hanging="360"/>
      </w:pPr>
      <w:rPr>
        <w:rFonts w:ascii="Symbol" w:hAnsi="Symbol"/>
      </w:rPr>
    </w:lvl>
    <w:lvl w:ilvl="1" w:tplc="47BA06F2">
      <w:start w:val="1"/>
      <w:numFmt w:val="bullet"/>
      <w:lvlText w:val="o"/>
      <w:lvlJc w:val="left"/>
      <w:pPr>
        <w:tabs>
          <w:tab w:val="num" w:pos="1440"/>
        </w:tabs>
        <w:ind w:left="1440" w:hanging="360"/>
      </w:pPr>
      <w:rPr>
        <w:rFonts w:ascii="Courier New" w:hAnsi="Courier New"/>
      </w:rPr>
    </w:lvl>
    <w:lvl w:ilvl="2" w:tplc="B5A64332">
      <w:start w:val="1"/>
      <w:numFmt w:val="bullet"/>
      <w:lvlText w:val=""/>
      <w:lvlJc w:val="left"/>
      <w:pPr>
        <w:tabs>
          <w:tab w:val="num" w:pos="2160"/>
        </w:tabs>
        <w:ind w:left="2160" w:hanging="360"/>
      </w:pPr>
      <w:rPr>
        <w:rFonts w:ascii="Wingdings" w:hAnsi="Wingdings"/>
      </w:rPr>
    </w:lvl>
    <w:lvl w:ilvl="3" w:tplc="41105366">
      <w:start w:val="1"/>
      <w:numFmt w:val="bullet"/>
      <w:lvlText w:val=""/>
      <w:lvlJc w:val="left"/>
      <w:pPr>
        <w:tabs>
          <w:tab w:val="num" w:pos="2880"/>
        </w:tabs>
        <w:ind w:left="2880" w:hanging="360"/>
      </w:pPr>
      <w:rPr>
        <w:rFonts w:ascii="Symbol" w:hAnsi="Symbol"/>
      </w:rPr>
    </w:lvl>
    <w:lvl w:ilvl="4" w:tplc="EE221A56">
      <w:start w:val="1"/>
      <w:numFmt w:val="bullet"/>
      <w:lvlText w:val="o"/>
      <w:lvlJc w:val="left"/>
      <w:pPr>
        <w:tabs>
          <w:tab w:val="num" w:pos="3600"/>
        </w:tabs>
        <w:ind w:left="3600" w:hanging="360"/>
      </w:pPr>
      <w:rPr>
        <w:rFonts w:ascii="Courier New" w:hAnsi="Courier New"/>
      </w:rPr>
    </w:lvl>
    <w:lvl w:ilvl="5" w:tplc="D5105066">
      <w:start w:val="1"/>
      <w:numFmt w:val="bullet"/>
      <w:lvlText w:val=""/>
      <w:lvlJc w:val="left"/>
      <w:pPr>
        <w:tabs>
          <w:tab w:val="num" w:pos="4320"/>
        </w:tabs>
        <w:ind w:left="4320" w:hanging="360"/>
      </w:pPr>
      <w:rPr>
        <w:rFonts w:ascii="Wingdings" w:hAnsi="Wingdings"/>
      </w:rPr>
    </w:lvl>
    <w:lvl w:ilvl="6" w:tplc="C82600AA">
      <w:start w:val="1"/>
      <w:numFmt w:val="bullet"/>
      <w:lvlText w:val=""/>
      <w:lvlJc w:val="left"/>
      <w:pPr>
        <w:tabs>
          <w:tab w:val="num" w:pos="5040"/>
        </w:tabs>
        <w:ind w:left="5040" w:hanging="360"/>
      </w:pPr>
      <w:rPr>
        <w:rFonts w:ascii="Symbol" w:hAnsi="Symbol"/>
      </w:rPr>
    </w:lvl>
    <w:lvl w:ilvl="7" w:tplc="BE787A58">
      <w:start w:val="1"/>
      <w:numFmt w:val="bullet"/>
      <w:lvlText w:val="o"/>
      <w:lvlJc w:val="left"/>
      <w:pPr>
        <w:tabs>
          <w:tab w:val="num" w:pos="5760"/>
        </w:tabs>
        <w:ind w:left="5760" w:hanging="360"/>
      </w:pPr>
      <w:rPr>
        <w:rFonts w:ascii="Courier New" w:hAnsi="Courier New"/>
      </w:rPr>
    </w:lvl>
    <w:lvl w:ilvl="8" w:tplc="DE9A39C8">
      <w:start w:val="1"/>
      <w:numFmt w:val="bullet"/>
      <w:lvlText w:val=""/>
      <w:lvlJc w:val="left"/>
      <w:pPr>
        <w:tabs>
          <w:tab w:val="num" w:pos="6480"/>
        </w:tabs>
        <w:ind w:left="6480" w:hanging="360"/>
      </w:pPr>
      <w:rPr>
        <w:rFonts w:ascii="Wingdings" w:hAnsi="Wingdings"/>
      </w:rPr>
    </w:lvl>
  </w:abstractNum>
  <w:num w:numId="1" w16cid:durableId="589773535">
    <w:abstractNumId w:val="0"/>
  </w:num>
  <w:num w:numId="2" w16cid:durableId="150802933">
    <w:abstractNumId w:val="1"/>
  </w:num>
  <w:num w:numId="3" w16cid:durableId="770200630">
    <w:abstractNumId w:val="2"/>
  </w:num>
  <w:num w:numId="4" w16cid:durableId="2031175003">
    <w:abstractNumId w:val="3"/>
  </w:num>
  <w:num w:numId="5" w16cid:durableId="1181969862">
    <w:abstractNumId w:val="4"/>
  </w:num>
  <w:num w:numId="6" w16cid:durableId="1670257504">
    <w:abstractNumId w:val="5"/>
  </w:num>
  <w:num w:numId="7" w16cid:durableId="624432953">
    <w:abstractNumId w:val="6"/>
  </w:num>
  <w:num w:numId="8" w16cid:durableId="563951518">
    <w:abstractNumId w:val="7"/>
  </w:num>
  <w:num w:numId="9" w16cid:durableId="260575748">
    <w:abstractNumId w:val="8"/>
  </w:num>
  <w:num w:numId="10" w16cid:durableId="563639753">
    <w:abstractNumId w:val="9"/>
  </w:num>
  <w:num w:numId="11" w16cid:durableId="593369230">
    <w:abstractNumId w:val="10"/>
  </w:num>
  <w:num w:numId="12" w16cid:durableId="1513954570">
    <w:abstractNumId w:val="11"/>
  </w:num>
  <w:num w:numId="13" w16cid:durableId="1086346834">
    <w:abstractNumId w:val="12"/>
  </w:num>
  <w:num w:numId="14" w16cid:durableId="6456270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F058E"/>
    <w:rsid w:val="004A58A2"/>
    <w:rsid w:val="005F246C"/>
    <w:rsid w:val="009773A3"/>
    <w:rsid w:val="00A77B3E"/>
    <w:rsid w:val="00B82D50"/>
    <w:rsid w:val="00CA2A5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A0E7B"/>
  <w15:docId w15:val="{F007D701-7654-48F2-991C-7CA9CB874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noProof/>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val="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F7B96"/>
    <w:rPr>
      <w:b/>
      <w:bCs/>
    </w:rPr>
  </w:style>
  <w:style w:type="character" w:styleId="Emphasis">
    <w:name w:val="Emphasis"/>
    <w:basedOn w:val="DefaultParagraphFont"/>
    <w:qFormat/>
    <w:rsid w:val="00EF7B96"/>
    <w:rPr>
      <w:i/>
      <w:iCs/>
    </w:rPr>
  </w:style>
  <w:style w:type="paragraph" w:styleId="TOC1">
    <w:name w:val="toc 1"/>
    <w:basedOn w:val="Normal"/>
    <w:next w:val="Normal"/>
    <w:autoRedefine/>
    <w:rsid w:val="00805BCE"/>
  </w:style>
  <w:style w:type="character" w:styleId="Hyperlink">
    <w:name w:val="Hyperlink"/>
    <w:basedOn w:val="DefaultParagraphFont"/>
    <w:rsid w:val="00EF7B96"/>
    <w:rPr>
      <w:color w:val="0000FF"/>
      <w:u w:val="single"/>
    </w:rPr>
  </w:style>
  <w:style w:type="paragraph" w:styleId="TOC2">
    <w:name w:val="toc 2"/>
    <w:basedOn w:val="Normal"/>
    <w:next w:val="Normal"/>
    <w:autoRedefine/>
    <w:rsid w:val="00805BCE"/>
    <w:pPr>
      <w:ind w:left="240"/>
    </w:pPr>
  </w:style>
  <w:style w:type="paragraph" w:styleId="TOC3">
    <w:name w:val="toc 3"/>
    <w:basedOn w:val="Normal"/>
    <w:next w:val="Normal"/>
    <w:autoRedefine/>
    <w:rsid w:val="00805BCE"/>
    <w:pPr>
      <w:ind w:left="480"/>
    </w:pPr>
  </w:style>
  <w:style w:type="paragraph" w:styleId="TOC4">
    <w:name w:val="toc 4"/>
    <w:basedOn w:val="Normal"/>
    <w:next w:val="Normal"/>
    <w:autoRedefine/>
    <w:rsid w:val="00805BCE"/>
    <w:pPr>
      <w:ind w:left="720"/>
    </w:pPr>
  </w:style>
  <w:style w:type="paragraph" w:styleId="TOC5">
    <w:name w:val="toc 5"/>
    <w:basedOn w:val="Normal"/>
    <w:next w:val="Normal"/>
    <w:autoRedefine/>
    <w:rsid w:val="00805BCE"/>
    <w:pPr>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footer" Target="footer18.xml"/><Relationship Id="rId47" Type="http://schemas.openxmlformats.org/officeDocument/2006/relationships/header" Target="header21.xml"/><Relationship Id="rId63" Type="http://schemas.openxmlformats.org/officeDocument/2006/relationships/footer" Target="footer28.xml"/><Relationship Id="rId68" Type="http://schemas.openxmlformats.org/officeDocument/2006/relationships/header" Target="header32.xml"/><Relationship Id="rId16" Type="http://schemas.openxmlformats.org/officeDocument/2006/relationships/footer" Target="footer5.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header" Target="header35.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eader" Target="header28.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77" Type="http://schemas.openxmlformats.org/officeDocument/2006/relationships/header" Target="header36.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75" Type="http://schemas.openxmlformats.org/officeDocument/2006/relationships/footer" Target="footer3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header" Target="header34.xml"/><Relationship Id="rId78" Type="http://schemas.openxmlformats.org/officeDocument/2006/relationships/footer" Target="footer36.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footer" Target="footer16.xml"/><Relationship Id="rId34" Type="http://schemas.openxmlformats.org/officeDocument/2006/relationships/footer" Target="footer14.xml"/><Relationship Id="rId50" Type="http://schemas.openxmlformats.org/officeDocument/2006/relationships/header" Target="header23.xml"/><Relationship Id="rId55" Type="http://schemas.openxmlformats.org/officeDocument/2006/relationships/header" Target="header25.xml"/><Relationship Id="rId76" Type="http://schemas.openxmlformats.org/officeDocument/2006/relationships/footer" Target="footer35.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29"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33892</Words>
  <Characters>193190</Characters>
  <Application>Microsoft Office Word</Application>
  <DocSecurity>0</DocSecurity>
  <Lines>1609</Lines>
  <Paragraphs>453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ERDF Southern Eastern and Midland Regional Programme 21-27 Version 3.2</dc:title>
  <dc:creator>Enda Hogan</dc:creator>
  <cp:keywords>ERDF</cp:keywords>
  <cp:lastModifiedBy>Lisa Slater</cp:lastModifiedBy>
  <cp:revision>2</cp:revision>
  <dcterms:created xsi:type="dcterms:W3CDTF">2026-07-21T11:13:00Z</dcterms:created>
  <dcterms:modified xsi:type="dcterms:W3CDTF">2026-07-21T11:13:00Z</dcterms:modified>
</cp:coreProperties>
</file>